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ECDB" w14:textId="67351F09" w:rsidR="00A6708D" w:rsidRPr="00A6708D" w:rsidRDefault="00A6708D" w:rsidP="00A6708D">
      <w:pPr>
        <w:pStyle w:val="Heading1"/>
        <w:ind w:left="1440"/>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0D0F32E8" wp14:editId="06E7A694">
            <wp:simplePos x="0" y="0"/>
            <wp:positionH relativeFrom="margin">
              <wp:posOffset>102870</wp:posOffset>
            </wp:positionH>
            <wp:positionV relativeFrom="paragraph">
              <wp:posOffset>42619</wp:posOffset>
            </wp:positionV>
            <wp:extent cx="657225" cy="66073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7225" cy="660739"/>
                    </a:xfrm>
                    <a:prstGeom prst="rect">
                      <a:avLst/>
                    </a:prstGeom>
                    <a:noFill/>
                  </pic:spPr>
                </pic:pic>
              </a:graphicData>
            </a:graphic>
            <wp14:sizeRelH relativeFrom="margin">
              <wp14:pctWidth>0</wp14:pctWidth>
            </wp14:sizeRelH>
            <wp14:sizeRelV relativeFrom="margin">
              <wp14:pctHeight>0</wp14:pctHeight>
            </wp14:sizeRelV>
          </wp:anchor>
        </w:drawing>
      </w:r>
      <w:r w:rsidR="00642318">
        <w:t xml:space="preserve">Crich Carr CofE </w:t>
      </w:r>
      <w:r>
        <w:t xml:space="preserve">Primary </w:t>
      </w:r>
      <w:r w:rsidR="00642318">
        <w:t>School</w:t>
      </w:r>
      <w:r>
        <w:tab/>
      </w:r>
      <w:r>
        <w:tab/>
      </w:r>
      <w:r>
        <w:tab/>
      </w:r>
      <w:r>
        <w:tab/>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ab/>
        <w:t xml:space="preserve">        2023-26</w:t>
      </w:r>
    </w:p>
    <w:p w14:paraId="2A7D54B2" w14:textId="77E2C6A5"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53CED96" w:rsidR="002940F3" w:rsidRDefault="00DC6778">
            <w:pPr>
              <w:pStyle w:val="TableRow"/>
            </w:pPr>
            <w:r>
              <w:t>38 + 3 FS1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7F1008D" w:rsidR="002940F3" w:rsidRDefault="003B350C">
            <w:pPr>
              <w:pStyle w:val="TableRow"/>
            </w:pPr>
            <w:r>
              <w:t>13%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66BA7" w14:textId="0C956C0C" w:rsidR="00925346" w:rsidRDefault="00A6708D">
            <w:pPr>
              <w:pStyle w:val="TableRow"/>
            </w:pPr>
            <w:r>
              <w:t>2023</w:t>
            </w:r>
            <w:r w:rsidR="00925346">
              <w:t xml:space="preserve">/24 to </w:t>
            </w:r>
          </w:p>
          <w:p w14:paraId="2A7D54BF" w14:textId="11939AFC" w:rsidR="002940F3" w:rsidRDefault="00A6708D" w:rsidP="00925346">
            <w:pPr>
              <w:pStyle w:val="TableRow"/>
            </w:pPr>
            <w:r>
              <w:t>2026</w:t>
            </w:r>
            <w:r w:rsidR="00925346">
              <w:t>/27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F7D2F27" w:rsidR="002940F3" w:rsidRDefault="003B350C">
            <w:pPr>
              <w:pStyle w:val="TableRow"/>
            </w:pPr>
            <w:r>
              <w:t>Novem</w:t>
            </w:r>
            <w:r w:rsidR="00A6708D">
              <w:t>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590239A" w:rsidR="002940F3" w:rsidRDefault="00080C87">
            <w:pPr>
              <w:pStyle w:val="TableRow"/>
            </w:pPr>
            <w:r>
              <w:t>November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421D95E" w:rsidR="002940F3" w:rsidRDefault="00A6708D">
            <w:pPr>
              <w:pStyle w:val="TableRow"/>
            </w:pPr>
            <w:r>
              <w:t xml:space="preserve">Ian </w:t>
            </w:r>
            <w:r w:rsidR="003B350C">
              <w:t>Robson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7156E97" w:rsidR="002940F3" w:rsidRDefault="00A6708D">
            <w:pPr>
              <w:pStyle w:val="TableRow"/>
            </w:pPr>
            <w:r>
              <w:t xml:space="preserve">Ian </w:t>
            </w:r>
            <w:r w:rsidR="003B350C">
              <w:t>Robson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C6FA902" w:rsidR="002940F3" w:rsidRDefault="003B350C">
            <w:pPr>
              <w:pStyle w:val="TableRow"/>
            </w:pPr>
            <w:r>
              <w:t>John Moffat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0530B268" w:rsidR="00E66558" w:rsidRDefault="009D71E8">
            <w:pPr>
              <w:pStyle w:val="TableRow"/>
            </w:pPr>
            <w:r>
              <w:t>£</w:t>
            </w:r>
            <w:r w:rsidR="0027661F">
              <w:t>8</w:t>
            </w:r>
            <w:r w:rsidR="00ED41C9">
              <w:t>,</w:t>
            </w:r>
            <w:r w:rsidR="00C144A1">
              <w:t>685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548530B" w:rsidR="00E66558" w:rsidRDefault="00C144A1">
            <w:pPr>
              <w:pStyle w:val="TableRow"/>
            </w:pPr>
            <w:r>
              <w:t>£</w:t>
            </w:r>
            <w:r w:rsidR="00A6708D">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04C7CC10" w:rsidR="001E206F" w:rsidRPr="00A6708D" w:rsidRDefault="009D71E8" w:rsidP="00A6708D">
            <w:pPr>
              <w:pStyle w:val="TableRow"/>
              <w:spacing w:after="120"/>
            </w:pPr>
            <w:r>
              <w:t xml:space="preserve">Pupil premium </w:t>
            </w:r>
            <w:r w:rsidR="006E0786">
              <w:t>(and recovery premium</w:t>
            </w:r>
            <w:r w:rsidR="001E206F">
              <w:t xml:space="preserve">*) </w:t>
            </w:r>
            <w:r>
              <w:t xml:space="preserve">funding carried forward from previous years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7101131" w:rsidR="00E66558" w:rsidRDefault="009D71E8">
            <w:pPr>
              <w:pStyle w:val="TableRow"/>
            </w:pPr>
            <w:r>
              <w:t>£</w:t>
            </w:r>
            <w:r w:rsidR="00A6708D">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37CB3F0D" w:rsidR="00E66558" w:rsidRPr="00A6708D" w:rsidRDefault="009D71E8" w:rsidP="00A6708D">
            <w:pPr>
              <w:pStyle w:val="TableRow"/>
              <w:spacing w:after="120"/>
              <w:rPr>
                <w:b/>
              </w:rPr>
            </w:pPr>
            <w:r>
              <w:rPr>
                <w:b/>
              </w:rPr>
              <w:t>Total budget for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1A44AA5" w:rsidR="00E66558" w:rsidRDefault="009D71E8">
            <w:pPr>
              <w:pStyle w:val="TableRow"/>
            </w:pPr>
            <w:r>
              <w:t>£</w:t>
            </w:r>
            <w:r w:rsidR="00C144A1">
              <w:t>8.685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068B" w14:textId="749EAE63" w:rsidR="00274597" w:rsidRDefault="00274597" w:rsidP="00274597">
            <w:r>
              <w:t xml:space="preserve">Our intention is that all children, irrespective of background or the challenges they face, have their needs </w:t>
            </w:r>
            <w:r w:rsidR="002A4FC5">
              <w:t xml:space="preserve">fully </w:t>
            </w:r>
            <w:r>
              <w:t xml:space="preserve">met so they can make the best possible progress and achieve in their lives.  We intend to offer the very best curriculum and teaching and learning experiences for all children at </w:t>
            </w:r>
            <w:r w:rsidR="001C0010">
              <w:t xml:space="preserve">Crich </w:t>
            </w:r>
            <w:proofErr w:type="gramStart"/>
            <w:r w:rsidR="001C0010">
              <w:t>Carr</w:t>
            </w:r>
            <w:proofErr w:type="gramEnd"/>
            <w:r>
              <w:t xml:space="preserve"> so they are fully prepared for </w:t>
            </w:r>
            <w:r w:rsidR="002A4FC5">
              <w:t xml:space="preserve">both </w:t>
            </w:r>
            <w:r>
              <w:t>the next stage of their education and to become well rounded citizens. The focus of our pupil premium st</w:t>
            </w:r>
            <w:r w:rsidR="002A4FC5">
              <w:t xml:space="preserve">rategy is to ensure </w:t>
            </w:r>
            <w:r>
              <w:t xml:space="preserve">all children achieve these aims. </w:t>
            </w:r>
          </w:p>
          <w:p w14:paraId="4AE676FE" w14:textId="6A7119EE" w:rsidR="002A4FC5" w:rsidRDefault="002A4FC5" w:rsidP="002A4FC5">
            <w:r>
              <w:t xml:space="preserve">The school’s focus is on all children receiving quality first teaching across the curriculum, supplemented by tailored pastoral and academic interventions. We adopt a mastery style approach across all areas of the curriculum and support children to keep up – rather than having to catch up.  </w:t>
            </w:r>
          </w:p>
          <w:p w14:paraId="4956D678" w14:textId="77777777" w:rsidR="002A4FC5" w:rsidRDefault="002A4FC5" w:rsidP="002A4FC5">
            <w:r>
              <w:t xml:space="preserve">We firmly believe that learning to read (and developing a love of reading) is key to succeeding at school and beyond.  The school pupil premium strategy reflects this by making phonics and reading a key focus.  We support all children to meet the expected standard in phonics and have targeted interventions for any children who need support in reading.  </w:t>
            </w:r>
          </w:p>
          <w:p w14:paraId="2603F592" w14:textId="1F15766A" w:rsidR="00274597" w:rsidRDefault="002A4FC5" w:rsidP="00274597">
            <w:r>
              <w:t xml:space="preserve">At </w:t>
            </w:r>
            <w:r w:rsidR="001C0010">
              <w:t>Crich Carr</w:t>
            </w:r>
            <w:r>
              <w:t xml:space="preserve">, we have high expectations for all children although we understand that all children are individuals and that some of our vulnerable children face challenges.  We support children and their families to overcome these challenges in order to help them succeed.  We use our pupil premium funding to ensure appropriate, high-quality pastoral support is in place for any pupil who needs it.  We aim to provide all children with a range of enrichment (co-curricular) activities to support their learning and development – our pupil premium strategy ensures that these activities are accessible to all. </w:t>
            </w:r>
          </w:p>
          <w:p w14:paraId="347745A7" w14:textId="77777777" w:rsidR="00274597" w:rsidRDefault="00274597" w:rsidP="00274597">
            <w:r>
              <w:t xml:space="preserve">Our approach will be responsive to common challenges and individual needs. To ensure they are effective we will ensure: </w:t>
            </w:r>
          </w:p>
          <w:p w14:paraId="45BA8C34" w14:textId="2D82FCEE" w:rsidR="00274597" w:rsidRDefault="00274597" w:rsidP="002A4FC5">
            <w:pPr>
              <w:pStyle w:val="ListParagraph"/>
              <w:numPr>
                <w:ilvl w:val="0"/>
                <w:numId w:val="14"/>
              </w:numPr>
            </w:pPr>
            <w:r>
              <w:t>No limits are put on what is expected of disadvantaged children and their potential</w:t>
            </w:r>
          </w:p>
          <w:p w14:paraId="1AC89153" w14:textId="641006C3" w:rsidR="00274597" w:rsidRDefault="00274597" w:rsidP="002A4FC5">
            <w:pPr>
              <w:pStyle w:val="ListParagraph"/>
              <w:numPr>
                <w:ilvl w:val="0"/>
                <w:numId w:val="14"/>
              </w:numPr>
            </w:pPr>
            <w:r>
              <w:t xml:space="preserve">All staff take responsibility for the outcomes of all children including the disadvantaged </w:t>
            </w:r>
          </w:p>
          <w:p w14:paraId="2A7D54E9" w14:textId="33A506FE" w:rsidR="00274597" w:rsidRPr="00274597" w:rsidRDefault="00274597" w:rsidP="002A4FC5">
            <w:pPr>
              <w:pStyle w:val="ListParagraph"/>
              <w:numPr>
                <w:ilvl w:val="0"/>
                <w:numId w:val="14"/>
              </w:numPr>
            </w:pPr>
            <w:r>
              <w:t>Support and interventions are carefully tailored to meet specific needs.</w:t>
            </w:r>
          </w:p>
        </w:tc>
      </w:tr>
    </w:tbl>
    <w:p w14:paraId="2A7D54EB" w14:textId="77777777" w:rsidR="00E66558" w:rsidRDefault="009D71E8">
      <w:pPr>
        <w:pStyle w:val="Heading2"/>
        <w:spacing w:before="600"/>
      </w:pPr>
      <w:r>
        <w:lastRenderedPageBreak/>
        <w:t>Challenges</w:t>
      </w:r>
    </w:p>
    <w:p w14:paraId="2A7D54EC" w14:textId="34FE0B83"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r w:rsidR="00F340D0">
        <w:t xml:space="preserve"> Please note: We are dealing with a small cohort of Pupil Premium </w:t>
      </w:r>
      <w:proofErr w:type="gramStart"/>
      <w:r w:rsidR="00F340D0">
        <w:t>children</w:t>
      </w:r>
      <w:proofErr w:type="gramEnd"/>
      <w:r w:rsidR="00F340D0">
        <w:t xml:space="preserve"> and it can be difficult to identify trends and patterns.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A700799" w:rsidR="00E66558" w:rsidRDefault="00335DBC">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39C3226" w:rsidR="00E66558" w:rsidRDefault="00283929" w:rsidP="00D86717">
            <w:pPr>
              <w:pStyle w:val="TableRowCentered"/>
              <w:ind w:left="0"/>
              <w:jc w:val="left"/>
              <w:rPr>
                <w:sz w:val="22"/>
                <w:szCs w:val="22"/>
              </w:rPr>
            </w:pPr>
            <w:r w:rsidRPr="00E27862">
              <w:rPr>
                <w:color w:val="auto"/>
                <w:lang w:val="en-US"/>
              </w:rPr>
              <w:t xml:space="preserve">Assessments, observations, and discussions with pupils suggest disadvantaged pupils generally have greater difficulties with </w:t>
            </w:r>
            <w:r w:rsidR="00BE2EB7">
              <w:rPr>
                <w:color w:val="auto"/>
                <w:lang w:val="en-US"/>
              </w:rPr>
              <w:t>boys</w:t>
            </w:r>
            <w:r w:rsidR="00626F99">
              <w:rPr>
                <w:color w:val="auto"/>
                <w:lang w:val="en-US"/>
              </w:rPr>
              <w:t>’</w:t>
            </w:r>
            <w:r w:rsidR="00BE2EB7">
              <w:rPr>
                <w:color w:val="auto"/>
                <w:lang w:val="en-US"/>
              </w:rPr>
              <w:t xml:space="preserve"> </w:t>
            </w:r>
            <w:r w:rsidR="00D86717">
              <w:rPr>
                <w:color w:val="auto"/>
                <w:lang w:val="en-US"/>
              </w:rPr>
              <w:t xml:space="preserve">writing </w:t>
            </w:r>
            <w:r w:rsidR="00BE2EB7">
              <w:rPr>
                <w:color w:val="auto"/>
                <w:lang w:val="en-US"/>
              </w:rPr>
              <w:t>and girls</w:t>
            </w:r>
            <w:r w:rsidR="00626F99">
              <w:rPr>
                <w:color w:val="auto"/>
                <w:lang w:val="en-US"/>
              </w:rPr>
              <w:t>’</w:t>
            </w:r>
            <w:r w:rsidR="00BE2EB7">
              <w:rPr>
                <w:color w:val="auto"/>
                <w:lang w:val="en-US"/>
              </w:rPr>
              <w:t xml:space="preserve"> </w:t>
            </w:r>
            <w:proofErr w:type="spellStart"/>
            <w:r w:rsidR="00BE2EB7">
              <w:rPr>
                <w:color w:val="auto"/>
                <w:lang w:val="en-US"/>
              </w:rPr>
              <w:t>maths</w:t>
            </w:r>
            <w:proofErr w:type="spellEnd"/>
            <w:r w:rsidR="00BE2EB7">
              <w:rPr>
                <w:color w:val="auto"/>
                <w:lang w:val="en-US"/>
              </w:rPr>
              <w:t xml:space="preserve"> </w:t>
            </w:r>
            <w:r w:rsidRPr="00E27862">
              <w:rPr>
                <w:color w:val="auto"/>
                <w:lang w:val="en-US"/>
              </w:rPr>
              <w:t>than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C94E80B" w:rsidR="00E66558" w:rsidRDefault="00335DBC">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3B9D" w14:textId="77777777" w:rsidR="00E66558" w:rsidRPr="00283929" w:rsidRDefault="00283929" w:rsidP="00283929">
            <w:pPr>
              <w:pStyle w:val="TableRowCentered"/>
              <w:ind w:left="0"/>
              <w:jc w:val="left"/>
              <w:rPr>
                <w:szCs w:val="22"/>
              </w:rPr>
            </w:pPr>
            <w:r w:rsidRPr="00283929">
              <w:rPr>
                <w:szCs w:val="22"/>
              </w:rPr>
              <w:t xml:space="preserve">Internal end or year data shows that our disadvantaged pupils are less likely to be at the expected standard in reading, writing and maths combined than other children in school. </w:t>
            </w:r>
          </w:p>
          <w:p w14:paraId="2A7D54F7" w14:textId="23E1E0D2" w:rsidR="00283929" w:rsidRPr="00283929" w:rsidRDefault="00283929" w:rsidP="00283929">
            <w:pPr>
              <w:pStyle w:val="TableRowCentered"/>
              <w:ind w:left="0"/>
              <w:jc w:val="left"/>
              <w:rPr>
                <w:szCs w:val="22"/>
              </w:rPr>
            </w:pPr>
            <w:r w:rsidRPr="00283929">
              <w:rPr>
                <w:szCs w:val="22"/>
              </w:rPr>
              <w:t xml:space="preserve">At the end of 2022-23, </w:t>
            </w:r>
            <w:r w:rsidR="006F5ADE">
              <w:rPr>
                <w:szCs w:val="22"/>
              </w:rPr>
              <w:t>3</w:t>
            </w:r>
            <w:r w:rsidRPr="00283929">
              <w:rPr>
                <w:szCs w:val="22"/>
              </w:rPr>
              <w:t xml:space="preserve"> out of </w:t>
            </w:r>
            <w:r w:rsidR="0032303E">
              <w:rPr>
                <w:szCs w:val="22"/>
              </w:rPr>
              <w:t>7</w:t>
            </w:r>
            <w:r w:rsidRPr="00283929">
              <w:rPr>
                <w:szCs w:val="22"/>
              </w:rPr>
              <w:t xml:space="preserve"> children (</w:t>
            </w:r>
            <w:r w:rsidR="00663A20">
              <w:rPr>
                <w:szCs w:val="22"/>
              </w:rPr>
              <w:t>43</w:t>
            </w:r>
            <w:r w:rsidRPr="00283929">
              <w:rPr>
                <w:szCs w:val="22"/>
              </w:rPr>
              <w:t>%) were the expected standard in all three areas.  This is compared to 7</w:t>
            </w:r>
            <w:r w:rsidR="00C20BB9">
              <w:rPr>
                <w:szCs w:val="22"/>
              </w:rPr>
              <w:t>6</w:t>
            </w:r>
            <w:r w:rsidRPr="00283929">
              <w:rPr>
                <w:szCs w:val="22"/>
              </w:rPr>
              <w:t xml:space="preserve">% of all pupils.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115308A" w:rsidR="00E66558" w:rsidRDefault="00335DBC">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5CE571" w:rsidR="00E66558" w:rsidRPr="00283929" w:rsidRDefault="00F73C6B">
            <w:pPr>
              <w:pStyle w:val="TableRowCentered"/>
              <w:jc w:val="left"/>
              <w:rPr>
                <w:iCs/>
              </w:rPr>
            </w:pPr>
            <w:r>
              <w:rPr>
                <w:iCs/>
              </w:rPr>
              <w:t>A</w:t>
            </w:r>
            <w:r w:rsidR="00283929">
              <w:rPr>
                <w:iCs/>
              </w:rPr>
              <w:t>ttendance of our disadvantaged pupils is</w:t>
            </w:r>
            <w:r>
              <w:rPr>
                <w:iCs/>
              </w:rPr>
              <w:t xml:space="preserve"> considerably</w:t>
            </w:r>
            <w:r w:rsidR="00283929">
              <w:rPr>
                <w:iCs/>
              </w:rPr>
              <w:t xml:space="preserve"> below our school average for all pupils</w:t>
            </w:r>
            <w:r w:rsidR="00D850F8">
              <w:rPr>
                <w:iCs/>
              </w:rPr>
              <w:t xml:space="preserve"> </w:t>
            </w:r>
            <w:r w:rsidR="00283929">
              <w:rPr>
                <w:iCs/>
              </w:rPr>
              <w:t>(</w:t>
            </w:r>
            <w:r>
              <w:rPr>
                <w:iCs/>
              </w:rPr>
              <w:t>92.1%</w:t>
            </w:r>
            <w:r w:rsidR="00283929">
              <w:rPr>
                <w:iCs/>
              </w:rPr>
              <w:t xml:space="preserve"> compared to the school average of 9</w:t>
            </w:r>
            <w:r w:rsidR="00575ED6">
              <w:rPr>
                <w:iCs/>
              </w:rPr>
              <w:t>5</w:t>
            </w:r>
            <w:r w:rsidR="00283929">
              <w:rPr>
                <w:iCs/>
              </w:rPr>
              <w:t>.</w:t>
            </w:r>
            <w:r w:rsidR="00AB1F4D">
              <w:rPr>
                <w:iCs/>
              </w:rPr>
              <w:t>55</w:t>
            </w:r>
            <w:r w:rsidR="00283929">
              <w:rPr>
                <w:iCs/>
              </w:rPr>
              <w:t xml:space="preserve">%).  </w:t>
            </w:r>
            <w:r w:rsidR="00BA1C85">
              <w:rPr>
                <w:iCs/>
              </w:rPr>
              <w:t>2 out of 3 persistent absentees last year were disadvantaged pupils.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F7CB19E" w:rsidR="00E66558" w:rsidRDefault="00335DBC">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717423" w:rsidR="00E66558" w:rsidRPr="00283929" w:rsidRDefault="00283929">
            <w:pPr>
              <w:pStyle w:val="TableRowCentered"/>
              <w:jc w:val="left"/>
              <w:rPr>
                <w:iCs/>
              </w:rPr>
            </w:pPr>
            <w:r>
              <w:rPr>
                <w:iCs/>
              </w:rPr>
              <w:t xml:space="preserve">Some of our disadvantaged children face challenges outside of school which leads to them requiring pastoral </w:t>
            </w:r>
            <w:proofErr w:type="gramStart"/>
            <w:r>
              <w:rPr>
                <w:iCs/>
              </w:rPr>
              <w:t>support</w:t>
            </w:r>
            <w:proofErr w:type="gramEnd"/>
            <w:r>
              <w:rPr>
                <w:iCs/>
              </w:rPr>
              <w:t xml:space="preserve"> so they are ready to learn.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04EB328" w:rsidR="00E66558" w:rsidRPr="00CB2452" w:rsidRDefault="00CB2452" w:rsidP="00CB2452">
            <w:pPr>
              <w:pStyle w:val="TableRow"/>
              <w:ind w:left="0"/>
            </w:pPr>
            <w:r>
              <w:t xml:space="preserve">Sustain the high levels of children meeting the expected standard in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D86C66D" w:rsidR="00E66558" w:rsidRDefault="00F44BA8">
            <w:pPr>
              <w:pStyle w:val="TableRowCentered"/>
              <w:jc w:val="left"/>
              <w:rPr>
                <w:sz w:val="22"/>
                <w:szCs w:val="22"/>
              </w:rPr>
            </w:pPr>
            <w:r>
              <w:rPr>
                <w:sz w:val="22"/>
                <w:szCs w:val="22"/>
              </w:rPr>
              <w:t xml:space="preserve">All children meet the expected standard at the end of Year 1.  In the event that some children do not meet the standard, effective intervention and support is in place to ensure they catch up and pass in Year 2. </w:t>
            </w:r>
          </w:p>
        </w:tc>
      </w:tr>
      <w:tr w:rsidR="00CB2452" w14:paraId="582E0A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2749" w14:textId="773C72A2" w:rsidR="00CB2452" w:rsidRPr="00CB2452" w:rsidRDefault="00CB2452">
            <w:pPr>
              <w:pStyle w:val="TableRow"/>
            </w:pPr>
            <w:r>
              <w:t xml:space="preserve">Sustain the proportion of children in EYFS meeting the expected standard in the prime areas of the curriculum by the end of FS2.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24DE" w14:textId="2B6EDAF9" w:rsidR="00CB2452" w:rsidRDefault="00F44BA8">
            <w:pPr>
              <w:pStyle w:val="TableRowCentered"/>
              <w:jc w:val="left"/>
              <w:rPr>
                <w:sz w:val="22"/>
                <w:szCs w:val="22"/>
              </w:rPr>
            </w:pPr>
            <w:r>
              <w:rPr>
                <w:sz w:val="22"/>
                <w:szCs w:val="22"/>
              </w:rPr>
              <w:t xml:space="preserve">Baseline assessment accurately identifies children in need of support.  Targeted teaching, support and intervention result in all children meeting the ELG in all prime areas. </w:t>
            </w:r>
          </w:p>
        </w:tc>
      </w:tr>
      <w:tr w:rsidR="00CB2452" w14:paraId="16FB18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D7DA" w14:textId="265C0039" w:rsidR="00CB2452" w:rsidRDefault="00CB2452" w:rsidP="00CB2452">
            <w:pPr>
              <w:pStyle w:val="TableRow"/>
            </w:pPr>
            <w:r>
              <w:t xml:space="preserve">To increase the proportion of disadvantaged children meeting the expected standard in reading, writing and maths combined.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7361" w14:textId="16C16178" w:rsidR="00CB2452" w:rsidRDefault="00F44BA8" w:rsidP="00CB2452">
            <w:pPr>
              <w:pStyle w:val="TableRowCentered"/>
              <w:jc w:val="left"/>
              <w:rPr>
                <w:sz w:val="22"/>
                <w:szCs w:val="22"/>
              </w:rPr>
            </w:pPr>
            <w:r>
              <w:rPr>
                <w:sz w:val="22"/>
                <w:szCs w:val="22"/>
              </w:rPr>
              <w:t xml:space="preserve">There is no gap between the proportion of disadvantaged pupils meeting the expected standard in reading, writing and maths combined across school when compared to the average for all pupils.  Teachers can clearly explain strategies used to ensure children keep up. </w:t>
            </w:r>
          </w:p>
        </w:tc>
      </w:tr>
      <w:tr w:rsidR="00CB245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C4144FF" w:rsidR="00CB2452" w:rsidRPr="00CB2452" w:rsidRDefault="00CB2452" w:rsidP="00CB2452">
            <w:pPr>
              <w:pStyle w:val="TableRow"/>
              <w:rPr>
                <w:szCs w:val="22"/>
              </w:rPr>
            </w:pPr>
            <w:r w:rsidRPr="00CB2452">
              <w:rPr>
                <w:szCs w:val="22"/>
              </w:rPr>
              <w:lastRenderedPageBreak/>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43F4B79" w:rsidR="00CB2452" w:rsidRDefault="00F44BA8" w:rsidP="00CB2452">
            <w:pPr>
              <w:pStyle w:val="TableRowCentered"/>
              <w:jc w:val="left"/>
              <w:rPr>
                <w:sz w:val="22"/>
                <w:szCs w:val="22"/>
              </w:rPr>
            </w:pPr>
            <w:r>
              <w:rPr>
                <w:sz w:val="22"/>
                <w:szCs w:val="22"/>
              </w:rPr>
              <w:t xml:space="preserve">The school vulnerable pupil tracker clearly identifies vulnerabilities and support offered.  Bespoke pastoral support reduces challenges and removes barriers to learning. </w:t>
            </w:r>
          </w:p>
        </w:tc>
      </w:tr>
      <w:tr w:rsidR="00CB245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7FFE88C" w:rsidR="00CB2452" w:rsidRPr="00CB2452" w:rsidRDefault="00CB2452" w:rsidP="00CB2452">
            <w:pPr>
              <w:pStyle w:val="TableRow"/>
              <w:rPr>
                <w:szCs w:val="22"/>
              </w:rPr>
            </w:pPr>
            <w:r w:rsidRPr="00CB2452">
              <w:rPr>
                <w:szCs w:val="22"/>
              </w:rPr>
              <w:t xml:space="preserve">Improved attendance for our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31BF1AB" w:rsidR="00CB2452" w:rsidRDefault="00F44BA8" w:rsidP="00CB2452">
            <w:pPr>
              <w:pStyle w:val="TableRowCentered"/>
              <w:jc w:val="left"/>
              <w:rPr>
                <w:sz w:val="22"/>
                <w:szCs w:val="22"/>
              </w:rPr>
            </w:pPr>
            <w:r>
              <w:rPr>
                <w:sz w:val="22"/>
                <w:szCs w:val="22"/>
              </w:rPr>
              <w:t xml:space="preserve">Attendance for disadvantaged pupils is both higher than the national average for disadvantaged and the whole school average for all pupils.  Support and challenge is given to children at risk of developing attendance issues.   </w:t>
            </w:r>
          </w:p>
        </w:tc>
      </w:tr>
      <w:tr w:rsidR="00CB245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FF97014" w:rsidR="00CB2452" w:rsidRPr="00CB2452" w:rsidRDefault="00CB2452" w:rsidP="00CB2452">
            <w:pPr>
              <w:pStyle w:val="TableRow"/>
              <w:rPr>
                <w:szCs w:val="22"/>
              </w:rPr>
            </w:pPr>
            <w:r w:rsidRPr="00CB2452">
              <w:rPr>
                <w:szCs w:val="22"/>
              </w:rPr>
              <w:t xml:space="preserve">All children have the opportunity to access enrichment / co-curricular activities – including residential visits, trips and after school clubs.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A6FD1E1" w:rsidR="00CB2452" w:rsidRDefault="00D358B6" w:rsidP="00CB2452">
            <w:pPr>
              <w:pStyle w:val="TableRowCentered"/>
              <w:jc w:val="left"/>
              <w:rPr>
                <w:sz w:val="22"/>
                <w:szCs w:val="22"/>
              </w:rPr>
            </w:pPr>
            <w:r>
              <w:rPr>
                <w:sz w:val="22"/>
                <w:szCs w:val="22"/>
              </w:rPr>
              <w:t xml:space="preserve">Targeted children attend after school clubs, residential visits and school trips.  Some clubs and activities are specifically offered to meet the needs of disadvantaged pupils.  </w:t>
            </w:r>
          </w:p>
        </w:tc>
      </w:tr>
    </w:tbl>
    <w:p w14:paraId="60BAD9F6" w14:textId="77777777" w:rsidR="00120AB1" w:rsidRDefault="00120AB1" w:rsidP="00ED5108"/>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1240C50" w:rsidR="00E66558" w:rsidRDefault="003A7E2B">
      <w:r>
        <w:t>Budgeted cost: £</w:t>
      </w:r>
      <w:r w:rsidR="002E272B">
        <w:t>3</w:t>
      </w:r>
      <w:r w:rsidR="00ED41C9">
        <w:t>,</w:t>
      </w:r>
      <w:r w:rsidR="002E272B">
        <w:t>80</w:t>
      </w:r>
      <w:r>
        <w:t>0</w:t>
      </w:r>
    </w:p>
    <w:tbl>
      <w:tblPr>
        <w:tblW w:w="5000" w:type="pct"/>
        <w:tblCellMar>
          <w:left w:w="10" w:type="dxa"/>
          <w:right w:w="10" w:type="dxa"/>
        </w:tblCellMar>
        <w:tblLook w:val="04A0" w:firstRow="1" w:lastRow="0" w:firstColumn="1" w:lastColumn="0" w:noHBand="0" w:noVBand="1"/>
      </w:tblPr>
      <w:tblGrid>
        <w:gridCol w:w="2972"/>
        <w:gridCol w:w="3970"/>
        <w:gridCol w:w="2544"/>
      </w:tblGrid>
      <w:tr w:rsidR="00E66558" w14:paraId="2A7D5519" w14:textId="77777777" w:rsidTr="00B84C60">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B84C60" w14:paraId="16C0D657" w14:textId="77777777" w:rsidTr="00473CE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F41C4" w14:textId="55ABE5F1" w:rsidR="00B84C60" w:rsidRPr="00B84C60" w:rsidRDefault="00B84C60" w:rsidP="00B84C60">
            <w:pPr>
              <w:pStyle w:val="TableRow"/>
              <w:spacing w:after="240"/>
              <w:ind w:left="29"/>
              <w:rPr>
                <w:iCs/>
                <w:color w:val="auto"/>
                <w:sz w:val="22"/>
                <w:szCs w:val="22"/>
                <w:lang w:val="en-US"/>
              </w:rPr>
            </w:pPr>
            <w:r>
              <w:rPr>
                <w:iCs/>
                <w:color w:val="auto"/>
                <w:sz w:val="22"/>
                <w:szCs w:val="22"/>
                <w:lang w:val="en-US"/>
              </w:rPr>
              <w:t>Staff member to complete the N</w:t>
            </w:r>
            <w:r w:rsidR="000A436D">
              <w:rPr>
                <w:iCs/>
                <w:color w:val="auto"/>
                <w:sz w:val="22"/>
                <w:szCs w:val="22"/>
                <w:lang w:val="en-US"/>
              </w:rPr>
              <w:t xml:space="preserve">ASENCO </w:t>
            </w:r>
            <w:proofErr w:type="gramStart"/>
            <w:r>
              <w:rPr>
                <w:iCs/>
                <w:color w:val="auto"/>
                <w:sz w:val="22"/>
                <w:szCs w:val="22"/>
                <w:lang w:val="en-US"/>
              </w:rPr>
              <w:t>in order to</w:t>
            </w:r>
            <w:proofErr w:type="gramEnd"/>
            <w:r>
              <w:rPr>
                <w:iCs/>
                <w:color w:val="auto"/>
                <w:sz w:val="22"/>
                <w:szCs w:val="22"/>
                <w:lang w:val="en-US"/>
              </w:rPr>
              <w:t xml:space="preserve"> further improve standards of </w:t>
            </w:r>
            <w:r w:rsidR="000A436D">
              <w:rPr>
                <w:iCs/>
                <w:color w:val="auto"/>
                <w:sz w:val="22"/>
                <w:szCs w:val="22"/>
                <w:lang w:val="en-US"/>
              </w:rPr>
              <w:t xml:space="preserve">provision for children with Special Educational Needs </w:t>
            </w:r>
            <w:r>
              <w:rPr>
                <w:iCs/>
                <w:color w:val="auto"/>
                <w:sz w:val="22"/>
                <w:szCs w:val="22"/>
                <w:lang w:val="en-US"/>
              </w:rPr>
              <w:t xml:space="preserve">across school.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AF450" w14:textId="0644EFA8" w:rsidR="00B84C60" w:rsidRPr="00B84C60" w:rsidRDefault="00B84C60" w:rsidP="00B84C60">
            <w:pPr>
              <w:pStyle w:val="TableRowCentered"/>
              <w:jc w:val="left"/>
              <w:rPr>
                <w:color w:val="auto"/>
                <w:sz w:val="22"/>
                <w:szCs w:val="22"/>
              </w:rPr>
            </w:pPr>
            <w:r>
              <w:rPr>
                <w:color w:val="auto"/>
                <w:sz w:val="22"/>
                <w:szCs w:val="22"/>
              </w:rPr>
              <w:t xml:space="preserve">As explained in the </w:t>
            </w:r>
            <w:hyperlink r:id="rId9" w:history="1">
              <w:r w:rsidRPr="00B84C60">
                <w:rPr>
                  <w:rStyle w:val="Hyperlink"/>
                  <w:sz w:val="22"/>
                  <w:szCs w:val="22"/>
                </w:rPr>
                <w:t>EEF’s Effective Professional Development</w:t>
              </w:r>
            </w:hyperlink>
            <w:r>
              <w:rPr>
                <w:color w:val="auto"/>
                <w:sz w:val="22"/>
                <w:szCs w:val="22"/>
              </w:rPr>
              <w:t xml:space="preserve"> document, </w:t>
            </w:r>
            <w:r w:rsidR="00AC74D6">
              <w:rPr>
                <w:color w:val="auto"/>
                <w:sz w:val="22"/>
                <w:szCs w:val="22"/>
              </w:rPr>
              <w:t xml:space="preserve">effective CPD builds knowledge, motivates teachers and helps them develop techniques.  By engaging in the NPQ programmes, we know they are well designed and led by experts.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3036" w14:textId="53777945" w:rsidR="003A7E2B" w:rsidRDefault="0058710F" w:rsidP="00E40111">
            <w:pPr>
              <w:pStyle w:val="TableRowCentered"/>
              <w:tabs>
                <w:tab w:val="center" w:pos="1164"/>
              </w:tabs>
              <w:jc w:val="left"/>
              <w:rPr>
                <w:sz w:val="22"/>
                <w:szCs w:val="22"/>
              </w:rPr>
            </w:pPr>
            <w:r>
              <w:rPr>
                <w:sz w:val="22"/>
                <w:szCs w:val="22"/>
              </w:rPr>
              <w:t xml:space="preserve">1 2 </w:t>
            </w:r>
            <w:r w:rsidR="00E40111">
              <w:rPr>
                <w:sz w:val="22"/>
                <w:szCs w:val="22"/>
              </w:rPr>
              <w:tab/>
            </w:r>
          </w:p>
          <w:p w14:paraId="544E279E" w14:textId="77777777" w:rsidR="003A7E2B" w:rsidRDefault="003A7E2B" w:rsidP="00B84C60">
            <w:pPr>
              <w:pStyle w:val="TableRowCentered"/>
              <w:jc w:val="left"/>
              <w:rPr>
                <w:sz w:val="22"/>
                <w:szCs w:val="22"/>
              </w:rPr>
            </w:pPr>
          </w:p>
          <w:p w14:paraId="069B816D" w14:textId="4E0F9DD5" w:rsidR="00B84C60" w:rsidRPr="00B84C60" w:rsidRDefault="0006303C" w:rsidP="003A7E2B">
            <w:pPr>
              <w:pStyle w:val="TableRowCentered"/>
              <w:jc w:val="left"/>
              <w:rPr>
                <w:sz w:val="22"/>
                <w:szCs w:val="22"/>
              </w:rPr>
            </w:pPr>
            <w:r w:rsidRPr="00962751">
              <w:rPr>
                <w:color w:val="FF0000"/>
                <w:sz w:val="22"/>
                <w:szCs w:val="22"/>
              </w:rPr>
              <w:t xml:space="preserve">Release time </w:t>
            </w:r>
            <w:r w:rsidR="003A7E2B" w:rsidRPr="00962751">
              <w:rPr>
                <w:color w:val="FF0000"/>
                <w:sz w:val="22"/>
                <w:szCs w:val="22"/>
              </w:rPr>
              <w:t>£</w:t>
            </w:r>
            <w:r w:rsidR="000A436D">
              <w:rPr>
                <w:color w:val="FF0000"/>
                <w:sz w:val="22"/>
                <w:szCs w:val="22"/>
              </w:rPr>
              <w:t>20</w:t>
            </w:r>
            <w:r w:rsidR="003A7E2B" w:rsidRPr="00962751">
              <w:rPr>
                <w:color w:val="FF0000"/>
                <w:sz w:val="22"/>
                <w:szCs w:val="22"/>
              </w:rPr>
              <w:t>00</w:t>
            </w:r>
          </w:p>
        </w:tc>
      </w:tr>
      <w:tr w:rsidR="00B84C60" w14:paraId="2A7D551D" w14:textId="77777777" w:rsidTr="00473CE1">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FC114" w14:textId="77777777" w:rsidR="00B84C60" w:rsidRPr="00B84C60" w:rsidRDefault="00B84C60" w:rsidP="00B84C60">
            <w:pPr>
              <w:pStyle w:val="TableRow"/>
              <w:spacing w:after="240"/>
              <w:ind w:left="29"/>
              <w:rPr>
                <w:rFonts w:cs="Arial"/>
                <w:color w:val="auto"/>
                <w:sz w:val="22"/>
                <w:szCs w:val="22"/>
                <w:shd w:val="clear" w:color="auto" w:fill="FFFFFF"/>
              </w:rPr>
            </w:pPr>
            <w:r w:rsidRPr="00B84C60">
              <w:rPr>
                <w:iCs/>
                <w:color w:val="auto"/>
                <w:sz w:val="22"/>
                <w:szCs w:val="22"/>
                <w:lang w:val="en-US"/>
              </w:rPr>
              <w:t xml:space="preserve">Purchase of </w:t>
            </w:r>
            <w:proofErr w:type="spellStart"/>
            <w:r w:rsidRPr="00B84C60">
              <w:rPr>
                <w:iCs/>
                <w:color w:val="auto"/>
                <w:sz w:val="22"/>
                <w:szCs w:val="22"/>
                <w:lang w:val="en-US"/>
              </w:rPr>
              <w:t>standardised</w:t>
            </w:r>
            <w:proofErr w:type="spellEnd"/>
            <w:r w:rsidRPr="00B84C60">
              <w:rPr>
                <w:iCs/>
                <w:color w:val="auto"/>
                <w:sz w:val="22"/>
                <w:szCs w:val="22"/>
                <w:lang w:val="en-US"/>
              </w:rPr>
              <w:t xml:space="preserve"> diagnostic assessments. </w:t>
            </w:r>
          </w:p>
          <w:p w14:paraId="2A7D551A" w14:textId="349354CB" w:rsidR="00B84C60" w:rsidRPr="00B84C60" w:rsidRDefault="00B84C60" w:rsidP="00B84C60">
            <w:pPr>
              <w:pStyle w:val="TableRow"/>
              <w:rPr>
                <w:sz w:val="22"/>
                <w:szCs w:val="22"/>
              </w:rPr>
            </w:pPr>
            <w:proofErr w:type="spellStart"/>
            <w:r w:rsidRPr="00B84C60">
              <w:rPr>
                <w:rFonts w:cs="Arial"/>
                <w:color w:val="auto"/>
                <w:sz w:val="22"/>
                <w:szCs w:val="22"/>
                <w:shd w:val="clear" w:color="auto" w:fill="FFFFFF"/>
              </w:rPr>
              <w:t>NfER</w:t>
            </w:r>
            <w:proofErr w:type="spellEnd"/>
            <w:r w:rsidRPr="00B84C60">
              <w:rPr>
                <w:rFonts w:cs="Arial"/>
                <w:color w:val="auto"/>
                <w:sz w:val="22"/>
                <w:szCs w:val="22"/>
                <w:shd w:val="clear" w:color="auto" w:fill="FFFFFF"/>
              </w:rPr>
              <w:t xml:space="preserve"> tests materials used across Year 1 – Year 5 to ensure accuracy in assessment data. </w:t>
            </w:r>
            <w:r w:rsidR="003A7E2B">
              <w:rPr>
                <w:rFonts w:cs="Arial"/>
                <w:color w:val="auto"/>
                <w:sz w:val="22"/>
                <w:szCs w:val="22"/>
                <w:shd w:val="clear" w:color="auto" w:fill="FFFFFF"/>
              </w:rPr>
              <w:t xml:space="preserve">Follow up with pupil progress meetings to identify next steps and actions.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16603" w14:textId="77777777" w:rsidR="00B84C60" w:rsidRPr="00B84C60" w:rsidRDefault="00B84C60" w:rsidP="00B84C60">
            <w:pPr>
              <w:pStyle w:val="TableRowCentered"/>
              <w:jc w:val="left"/>
              <w:rPr>
                <w:color w:val="auto"/>
                <w:sz w:val="22"/>
                <w:szCs w:val="22"/>
              </w:rPr>
            </w:pPr>
            <w:r w:rsidRPr="00B84C60">
              <w:rPr>
                <w:color w:val="auto"/>
                <w:sz w:val="22"/>
                <w:szCs w:val="22"/>
              </w:rPr>
              <w:t>Standardised tests can provide reliable insights into the specific strengths and weaknesses of each pupil to help ensure they receive the correct additional support through interventions or teacher instruction:</w:t>
            </w:r>
          </w:p>
          <w:p w14:paraId="2A7D551B" w14:textId="5D4360EC" w:rsidR="00B84C60" w:rsidRPr="00B84C60" w:rsidRDefault="00000000" w:rsidP="00B84C60">
            <w:pPr>
              <w:pStyle w:val="TableRowCentered"/>
              <w:jc w:val="left"/>
              <w:rPr>
                <w:sz w:val="22"/>
                <w:szCs w:val="22"/>
              </w:rPr>
            </w:pPr>
            <w:hyperlink r:id="rId10" w:history="1">
              <w:r w:rsidR="00B84C60" w:rsidRPr="00B84C60">
                <w:rPr>
                  <w:color w:val="0070C0"/>
                  <w:sz w:val="22"/>
                  <w:szCs w:val="22"/>
                  <w:u w:val="single"/>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BC1C" w14:textId="67944A50" w:rsidR="003A7E2B" w:rsidRDefault="007C7DB1" w:rsidP="00B84C60">
            <w:pPr>
              <w:pStyle w:val="TableRowCentered"/>
              <w:jc w:val="left"/>
              <w:rPr>
                <w:sz w:val="22"/>
                <w:szCs w:val="22"/>
              </w:rPr>
            </w:pPr>
            <w:r>
              <w:rPr>
                <w:sz w:val="22"/>
                <w:szCs w:val="22"/>
              </w:rPr>
              <w:t xml:space="preserve">1 2 </w:t>
            </w:r>
          </w:p>
          <w:p w14:paraId="74E473A2" w14:textId="77777777" w:rsidR="003A7E2B" w:rsidRDefault="003A7E2B" w:rsidP="00B84C60">
            <w:pPr>
              <w:pStyle w:val="TableRowCentered"/>
              <w:jc w:val="left"/>
              <w:rPr>
                <w:sz w:val="22"/>
                <w:szCs w:val="22"/>
              </w:rPr>
            </w:pPr>
          </w:p>
          <w:p w14:paraId="2A7D551C" w14:textId="2E948E8B" w:rsidR="00B84C60" w:rsidRPr="00B84C60" w:rsidRDefault="0006303C" w:rsidP="00B84C60">
            <w:pPr>
              <w:pStyle w:val="TableRowCentered"/>
              <w:jc w:val="left"/>
              <w:rPr>
                <w:sz w:val="22"/>
                <w:szCs w:val="22"/>
              </w:rPr>
            </w:pPr>
            <w:proofErr w:type="spellStart"/>
            <w:r w:rsidRPr="00962751">
              <w:rPr>
                <w:color w:val="FF0000"/>
                <w:sz w:val="22"/>
                <w:szCs w:val="22"/>
              </w:rPr>
              <w:t>NfER</w:t>
            </w:r>
            <w:proofErr w:type="spellEnd"/>
            <w:r w:rsidRPr="00962751">
              <w:rPr>
                <w:color w:val="FF0000"/>
                <w:sz w:val="22"/>
                <w:szCs w:val="22"/>
              </w:rPr>
              <w:t xml:space="preserve"> materials </w:t>
            </w:r>
            <w:r w:rsidR="003A7E2B" w:rsidRPr="00962751">
              <w:rPr>
                <w:color w:val="FF0000"/>
                <w:sz w:val="22"/>
                <w:szCs w:val="22"/>
              </w:rPr>
              <w:t>£</w:t>
            </w:r>
            <w:r w:rsidR="00546FF3">
              <w:rPr>
                <w:color w:val="FF0000"/>
                <w:sz w:val="22"/>
                <w:szCs w:val="22"/>
              </w:rPr>
              <w:t>750</w:t>
            </w:r>
          </w:p>
        </w:tc>
      </w:tr>
      <w:tr w:rsidR="00C43F47" w14:paraId="1619074A" w14:textId="77777777" w:rsidTr="00B84C6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524E" w14:textId="32494F08" w:rsidR="00C43F47" w:rsidRPr="00B84C60" w:rsidRDefault="00C43F47" w:rsidP="00B84C60">
            <w:pPr>
              <w:pStyle w:val="TableRow"/>
              <w:rPr>
                <w:sz w:val="22"/>
                <w:szCs w:val="22"/>
              </w:rPr>
            </w:pPr>
            <w:r>
              <w:rPr>
                <w:sz w:val="22"/>
                <w:szCs w:val="22"/>
              </w:rPr>
              <w:t xml:space="preserve">Improve teaching of writing. Develop a whole </w:t>
            </w:r>
            <w:r>
              <w:rPr>
                <w:sz w:val="22"/>
                <w:szCs w:val="22"/>
              </w:rPr>
              <w:lastRenderedPageBreak/>
              <w:t xml:space="preserve">school approach based on Pie Corbett’s Talk for Writing.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47E2" w14:textId="5612F546" w:rsidR="00C43F47" w:rsidRDefault="00CC733E" w:rsidP="00B84C60">
            <w:pPr>
              <w:pStyle w:val="TableRowCentered"/>
              <w:jc w:val="left"/>
              <w:rPr>
                <w:sz w:val="22"/>
                <w:szCs w:val="22"/>
              </w:rPr>
            </w:pPr>
            <w:r>
              <w:rPr>
                <w:sz w:val="22"/>
                <w:szCs w:val="22"/>
              </w:rPr>
              <w:lastRenderedPageBreak/>
              <w:t xml:space="preserve">As mentioned in the </w:t>
            </w:r>
            <w:hyperlink r:id="rId11" w:history="1">
              <w:r w:rsidRPr="00B84C60">
                <w:rPr>
                  <w:rStyle w:val="Hyperlink"/>
                  <w:sz w:val="22"/>
                  <w:szCs w:val="22"/>
                </w:rPr>
                <w:t>EEF Menu of approaches</w:t>
              </w:r>
            </w:hyperlink>
            <w:r>
              <w:rPr>
                <w:sz w:val="22"/>
                <w:szCs w:val="22"/>
              </w:rPr>
              <w:t xml:space="preserve"> document ‘evidence </w:t>
            </w:r>
            <w:r>
              <w:rPr>
                <w:sz w:val="22"/>
                <w:szCs w:val="22"/>
              </w:rPr>
              <w:lastRenderedPageBreak/>
              <w:t xml:space="preserve">indicates that high quality teaching is the most powerful way for schools to improve pupil attainment.  </w:t>
            </w:r>
            <w:r w:rsidR="008C27D3">
              <w:rPr>
                <w:sz w:val="22"/>
                <w:szCs w:val="22"/>
              </w:rPr>
              <w:t xml:space="preserve">This approach </w:t>
            </w:r>
            <w:r>
              <w:rPr>
                <w:sz w:val="22"/>
                <w:szCs w:val="22"/>
              </w:rPr>
              <w:t>support</w:t>
            </w:r>
            <w:r w:rsidR="008C27D3">
              <w:rPr>
                <w:sz w:val="22"/>
                <w:szCs w:val="22"/>
              </w:rPr>
              <w:t>s</w:t>
            </w:r>
            <w:r>
              <w:rPr>
                <w:sz w:val="22"/>
                <w:szCs w:val="22"/>
              </w:rPr>
              <w:t xml:space="preserve"> consistent, </w:t>
            </w:r>
            <w:proofErr w:type="gramStart"/>
            <w:r>
              <w:rPr>
                <w:sz w:val="22"/>
                <w:szCs w:val="22"/>
              </w:rPr>
              <w:t>high quality</w:t>
            </w:r>
            <w:proofErr w:type="gramEnd"/>
            <w:r>
              <w:rPr>
                <w:sz w:val="22"/>
                <w:szCs w:val="22"/>
              </w:rPr>
              <w:t xml:space="preserve"> provision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4057" w14:textId="3EF3D6E0" w:rsidR="00EC6601" w:rsidRDefault="007C7DB1" w:rsidP="003A7E2B">
            <w:pPr>
              <w:pStyle w:val="TableRowCentered"/>
              <w:ind w:left="0"/>
              <w:jc w:val="left"/>
              <w:rPr>
                <w:sz w:val="22"/>
                <w:szCs w:val="22"/>
              </w:rPr>
            </w:pPr>
            <w:r>
              <w:rPr>
                <w:sz w:val="22"/>
                <w:szCs w:val="22"/>
              </w:rPr>
              <w:lastRenderedPageBreak/>
              <w:t xml:space="preserve">1 2 </w:t>
            </w:r>
          </w:p>
          <w:p w14:paraId="6D70A93A" w14:textId="1EB20BA4" w:rsidR="00C43F47" w:rsidRDefault="00EC6601" w:rsidP="003A7E2B">
            <w:pPr>
              <w:pStyle w:val="TableRowCentered"/>
              <w:ind w:left="0"/>
              <w:jc w:val="left"/>
              <w:rPr>
                <w:sz w:val="22"/>
                <w:szCs w:val="22"/>
              </w:rPr>
            </w:pPr>
            <w:r w:rsidRPr="00E12414">
              <w:rPr>
                <w:color w:val="FF0000"/>
                <w:sz w:val="22"/>
                <w:szCs w:val="22"/>
              </w:rPr>
              <w:t>Training £300</w:t>
            </w:r>
          </w:p>
        </w:tc>
      </w:tr>
      <w:tr w:rsidR="00B84C60" w14:paraId="2A7D5521" w14:textId="77777777" w:rsidTr="00B84C6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B44D" w14:textId="77777777" w:rsidR="00B84C60" w:rsidRPr="00B84C60" w:rsidRDefault="00B84C60" w:rsidP="00B84C60">
            <w:pPr>
              <w:pStyle w:val="TableRow"/>
              <w:rPr>
                <w:sz w:val="22"/>
                <w:szCs w:val="22"/>
              </w:rPr>
            </w:pPr>
            <w:r w:rsidRPr="00B84C60">
              <w:rPr>
                <w:sz w:val="22"/>
                <w:szCs w:val="22"/>
              </w:rPr>
              <w:t xml:space="preserve">Provide appropriate resources for teachers to be able to deliver a mastery style approach through quality-first teaching.  Resources include: </w:t>
            </w:r>
          </w:p>
          <w:p w14:paraId="2A7D551E" w14:textId="5743EE40" w:rsidR="00B84C60" w:rsidRPr="00C43F47" w:rsidRDefault="00B84C60" w:rsidP="00C43F47">
            <w:pPr>
              <w:pStyle w:val="TableRow"/>
              <w:numPr>
                <w:ilvl w:val="0"/>
                <w:numId w:val="15"/>
              </w:numPr>
              <w:rPr>
                <w:sz w:val="22"/>
                <w:szCs w:val="22"/>
              </w:rPr>
            </w:pPr>
            <w:r w:rsidRPr="00B84C60">
              <w:rPr>
                <w:sz w:val="22"/>
                <w:szCs w:val="22"/>
              </w:rPr>
              <w:t>White Rose Maths</w:t>
            </w:r>
            <w:r w:rsidRPr="00C43F47">
              <w:rPr>
                <w:sz w:val="22"/>
                <w:szCs w:val="22"/>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CF2DE18" w:rsidR="00B84C60" w:rsidRPr="00B84C60" w:rsidRDefault="00B84C60" w:rsidP="00B84C60">
            <w:pPr>
              <w:pStyle w:val="TableRowCentered"/>
              <w:jc w:val="left"/>
              <w:rPr>
                <w:sz w:val="22"/>
                <w:szCs w:val="22"/>
              </w:rPr>
            </w:pPr>
            <w:r>
              <w:rPr>
                <w:sz w:val="22"/>
                <w:szCs w:val="22"/>
              </w:rPr>
              <w:t xml:space="preserve">As mentioned in the </w:t>
            </w:r>
            <w:hyperlink r:id="rId12" w:history="1">
              <w:r w:rsidRPr="00B84C60">
                <w:rPr>
                  <w:rStyle w:val="Hyperlink"/>
                  <w:sz w:val="22"/>
                  <w:szCs w:val="22"/>
                </w:rPr>
                <w:t>EEF Menu of approaches</w:t>
              </w:r>
            </w:hyperlink>
            <w:r>
              <w:rPr>
                <w:sz w:val="22"/>
                <w:szCs w:val="22"/>
              </w:rPr>
              <w:t xml:space="preserve"> document ‘evidence indicates that high quality teaching is the most powerful way for schools to improve pupil attainment.  These resources support consistent, high quality provision for all.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76D" w14:textId="2B8713DC" w:rsidR="003A7E2B" w:rsidRDefault="007C7DB1" w:rsidP="003A7E2B">
            <w:pPr>
              <w:pStyle w:val="TableRowCentered"/>
              <w:ind w:left="0"/>
              <w:jc w:val="left"/>
              <w:rPr>
                <w:sz w:val="22"/>
                <w:szCs w:val="22"/>
              </w:rPr>
            </w:pPr>
            <w:r>
              <w:rPr>
                <w:sz w:val="22"/>
                <w:szCs w:val="22"/>
              </w:rPr>
              <w:t xml:space="preserve">1 2 </w:t>
            </w:r>
          </w:p>
          <w:p w14:paraId="35E2197C" w14:textId="05857063" w:rsidR="003A7E2B" w:rsidRDefault="003A7E2B" w:rsidP="003A7E2B">
            <w:pPr>
              <w:pStyle w:val="TableRowCentered"/>
              <w:ind w:left="0"/>
              <w:jc w:val="left"/>
              <w:rPr>
                <w:sz w:val="22"/>
                <w:szCs w:val="22"/>
              </w:rPr>
            </w:pPr>
          </w:p>
          <w:p w14:paraId="347BE9BC" w14:textId="45838F2A" w:rsidR="00B84C60" w:rsidRPr="00962751" w:rsidRDefault="0006303C" w:rsidP="00B84C60">
            <w:pPr>
              <w:pStyle w:val="TableRowCentered"/>
              <w:jc w:val="left"/>
              <w:rPr>
                <w:color w:val="FF0000"/>
                <w:sz w:val="22"/>
                <w:szCs w:val="22"/>
              </w:rPr>
            </w:pPr>
            <w:r w:rsidRPr="00962751">
              <w:rPr>
                <w:color w:val="FF0000"/>
                <w:sz w:val="22"/>
                <w:szCs w:val="22"/>
              </w:rPr>
              <w:t xml:space="preserve">Licence costs </w:t>
            </w:r>
            <w:r w:rsidR="003A7E2B" w:rsidRPr="00962751">
              <w:rPr>
                <w:color w:val="FF0000"/>
                <w:sz w:val="22"/>
                <w:szCs w:val="22"/>
              </w:rPr>
              <w:t>£</w:t>
            </w:r>
            <w:r w:rsidR="00E12414">
              <w:rPr>
                <w:color w:val="FF0000"/>
                <w:sz w:val="22"/>
                <w:szCs w:val="22"/>
              </w:rPr>
              <w:t>250</w:t>
            </w:r>
          </w:p>
          <w:p w14:paraId="2A7D5520" w14:textId="2FF8D37E" w:rsidR="003A7E2B" w:rsidRPr="00B84C60" w:rsidRDefault="003A7E2B" w:rsidP="00B84C60">
            <w:pPr>
              <w:pStyle w:val="TableRowCentered"/>
              <w:jc w:val="left"/>
              <w:rPr>
                <w:sz w:val="22"/>
                <w:szCs w:val="22"/>
              </w:rPr>
            </w:pPr>
          </w:p>
        </w:tc>
      </w:tr>
      <w:tr w:rsidR="00B84C60" w14:paraId="25144B71" w14:textId="77777777" w:rsidTr="00B84C6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15B" w14:textId="50307BBB" w:rsidR="00B84C60" w:rsidRPr="00B84C60" w:rsidRDefault="00B84C60" w:rsidP="00B84C60">
            <w:pPr>
              <w:pStyle w:val="TableRow"/>
              <w:rPr>
                <w:sz w:val="22"/>
                <w:szCs w:val="22"/>
              </w:rPr>
            </w:pPr>
            <w:r w:rsidRPr="00B84C60">
              <w:rPr>
                <w:sz w:val="22"/>
                <w:szCs w:val="22"/>
              </w:rPr>
              <w:t xml:space="preserve">Continue to fund the </w:t>
            </w:r>
            <w:r w:rsidR="008C27D3">
              <w:rPr>
                <w:sz w:val="22"/>
                <w:szCs w:val="22"/>
              </w:rPr>
              <w:t xml:space="preserve">training and </w:t>
            </w:r>
            <w:r w:rsidRPr="00B84C60">
              <w:rPr>
                <w:sz w:val="22"/>
                <w:szCs w:val="22"/>
              </w:rPr>
              <w:t xml:space="preserve">resources needed to offer the DfE validated systematic synthetic phonics programme – </w:t>
            </w:r>
            <w:r w:rsidR="008C27D3">
              <w:rPr>
                <w:sz w:val="22"/>
                <w:szCs w:val="22"/>
              </w:rPr>
              <w:t>Floppy’s Phonics</w:t>
            </w:r>
            <w:r w:rsidRPr="00B84C60">
              <w:rPr>
                <w:sz w:val="22"/>
                <w:szCs w:val="22"/>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4617" w14:textId="77777777" w:rsidR="00B84C60" w:rsidRPr="00B84C60" w:rsidRDefault="00B84C60" w:rsidP="00B84C60">
            <w:pPr>
              <w:pStyle w:val="TableRowCentered"/>
              <w:jc w:val="left"/>
              <w:rPr>
                <w:rFonts w:cs="Arial"/>
                <w:color w:val="auto"/>
                <w:sz w:val="22"/>
                <w:szCs w:val="22"/>
              </w:rPr>
            </w:pPr>
            <w:r w:rsidRPr="00B84C60">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506C6086" w14:textId="1D6FB70D" w:rsidR="00B84C60" w:rsidRPr="00B84C60" w:rsidRDefault="00000000" w:rsidP="00B84C60">
            <w:pPr>
              <w:pStyle w:val="TableRowCentered"/>
              <w:jc w:val="left"/>
              <w:rPr>
                <w:sz w:val="22"/>
                <w:szCs w:val="22"/>
              </w:rPr>
            </w:pPr>
            <w:hyperlink r:id="rId13" w:history="1">
              <w:r w:rsidR="00B84C60" w:rsidRPr="00B84C60">
                <w:rPr>
                  <w:color w:val="0070C0"/>
                  <w:sz w:val="22"/>
                  <w:szCs w:val="22"/>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54331" w14:textId="7811B982" w:rsidR="00B84C60" w:rsidRDefault="007C7DB1" w:rsidP="00B84C60">
            <w:pPr>
              <w:pStyle w:val="TableRowCentered"/>
              <w:jc w:val="left"/>
              <w:rPr>
                <w:sz w:val="22"/>
                <w:szCs w:val="22"/>
              </w:rPr>
            </w:pPr>
            <w:r>
              <w:rPr>
                <w:sz w:val="22"/>
                <w:szCs w:val="22"/>
              </w:rPr>
              <w:t xml:space="preserve">1 </w:t>
            </w:r>
            <w:r w:rsidR="003A7E2B">
              <w:rPr>
                <w:sz w:val="22"/>
                <w:szCs w:val="22"/>
              </w:rPr>
              <w:t>2</w:t>
            </w:r>
            <w:r>
              <w:rPr>
                <w:sz w:val="22"/>
                <w:szCs w:val="22"/>
              </w:rPr>
              <w:t xml:space="preserve"> </w:t>
            </w:r>
          </w:p>
          <w:p w14:paraId="3354693A" w14:textId="77777777" w:rsidR="003A7E2B" w:rsidRDefault="003A7E2B" w:rsidP="00B84C60">
            <w:pPr>
              <w:pStyle w:val="TableRowCentered"/>
              <w:jc w:val="left"/>
              <w:rPr>
                <w:sz w:val="22"/>
                <w:szCs w:val="22"/>
              </w:rPr>
            </w:pPr>
          </w:p>
          <w:p w14:paraId="68BFE72B" w14:textId="3D952B7C" w:rsidR="003A7E2B" w:rsidRPr="00B84C60" w:rsidRDefault="0006303C" w:rsidP="00B84C60">
            <w:pPr>
              <w:pStyle w:val="TableRowCentered"/>
              <w:jc w:val="left"/>
              <w:rPr>
                <w:sz w:val="22"/>
                <w:szCs w:val="22"/>
              </w:rPr>
            </w:pPr>
            <w:r w:rsidRPr="00962751">
              <w:rPr>
                <w:color w:val="FF0000"/>
                <w:sz w:val="22"/>
                <w:szCs w:val="22"/>
              </w:rPr>
              <w:t xml:space="preserve">Phonics subscription and resources </w:t>
            </w:r>
            <w:r w:rsidR="003A7E2B" w:rsidRPr="00962751">
              <w:rPr>
                <w:color w:val="FF0000"/>
                <w:sz w:val="22"/>
                <w:szCs w:val="22"/>
              </w:rPr>
              <w:t>£</w:t>
            </w:r>
            <w:r w:rsidR="00E12414">
              <w:rPr>
                <w:color w:val="FF0000"/>
                <w:sz w:val="22"/>
                <w:szCs w:val="22"/>
              </w:rPr>
              <w:t>500</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996F0AA" w:rsidR="00E66558" w:rsidRDefault="003A7E2B">
      <w:r>
        <w:t>Budgeted cost: £</w:t>
      </w:r>
      <w:r w:rsidR="00EC21BB">
        <w:t>4,865</w:t>
      </w:r>
    </w:p>
    <w:tbl>
      <w:tblPr>
        <w:tblW w:w="5000" w:type="pct"/>
        <w:tblCellMar>
          <w:left w:w="10" w:type="dxa"/>
          <w:right w:w="10" w:type="dxa"/>
        </w:tblCellMar>
        <w:tblLook w:val="04A0" w:firstRow="1" w:lastRow="0" w:firstColumn="1" w:lastColumn="0" w:noHBand="0" w:noVBand="1"/>
      </w:tblPr>
      <w:tblGrid>
        <w:gridCol w:w="2499"/>
        <w:gridCol w:w="4627"/>
        <w:gridCol w:w="2360"/>
      </w:tblGrid>
      <w:tr w:rsidR="00E66558" w14:paraId="2A7D5528" w14:textId="77777777" w:rsidTr="003513D7">
        <w:tc>
          <w:tcPr>
            <w:tcW w:w="24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513D7" w14:paraId="2A7D552C" w14:textId="77777777" w:rsidTr="003513D7">
        <w:tc>
          <w:tcPr>
            <w:tcW w:w="24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CCB8A" w14:textId="2034DD7A" w:rsidR="003513D7" w:rsidRDefault="003513D7" w:rsidP="003513D7">
            <w:pPr>
              <w:pStyle w:val="TableRow"/>
              <w:ind w:left="0"/>
              <w:rPr>
                <w:color w:val="auto"/>
              </w:rPr>
            </w:pPr>
            <w:r>
              <w:rPr>
                <w:color w:val="auto"/>
              </w:rPr>
              <w:t>Provide effective targeted</w:t>
            </w:r>
            <w:r w:rsidR="002C181C">
              <w:rPr>
                <w:color w:val="auto"/>
              </w:rPr>
              <w:t xml:space="preserve"> support </w:t>
            </w:r>
            <w:proofErr w:type="gramStart"/>
            <w:r w:rsidR="002C181C">
              <w:rPr>
                <w:color w:val="auto"/>
              </w:rPr>
              <w:t xml:space="preserve">and </w:t>
            </w:r>
            <w:r>
              <w:rPr>
                <w:color w:val="auto"/>
              </w:rPr>
              <w:t xml:space="preserve"> intervention</w:t>
            </w:r>
            <w:proofErr w:type="gramEnd"/>
            <w:r>
              <w:rPr>
                <w:color w:val="auto"/>
              </w:rPr>
              <w:t xml:space="preserve"> so children can catch-up rapidly by making accelerated progress in literacy – including phonics.</w:t>
            </w:r>
          </w:p>
          <w:p w14:paraId="3ADB7FC3" w14:textId="77777777" w:rsidR="003513D7" w:rsidRDefault="003513D7" w:rsidP="003513D7">
            <w:pPr>
              <w:pStyle w:val="TableRow"/>
              <w:rPr>
                <w:color w:val="auto"/>
              </w:rPr>
            </w:pPr>
            <w:r>
              <w:rPr>
                <w:color w:val="auto"/>
              </w:rPr>
              <w:t>(see Intervention / Tutoring Summary Grid 2023/24)</w:t>
            </w:r>
          </w:p>
          <w:p w14:paraId="2CDF90DC" w14:textId="77777777" w:rsidR="003513D7" w:rsidRDefault="003513D7" w:rsidP="003513D7">
            <w:pPr>
              <w:pStyle w:val="TableRow"/>
              <w:rPr>
                <w:color w:val="auto"/>
              </w:rPr>
            </w:pPr>
            <w:r>
              <w:rPr>
                <w:color w:val="auto"/>
              </w:rPr>
              <w:t>These include:</w:t>
            </w:r>
          </w:p>
          <w:p w14:paraId="19BD2355" w14:textId="5ACD21B2" w:rsidR="003513D7" w:rsidRPr="007308D2" w:rsidRDefault="00621400" w:rsidP="003513D7">
            <w:pPr>
              <w:pStyle w:val="TableRow"/>
              <w:numPr>
                <w:ilvl w:val="0"/>
                <w:numId w:val="15"/>
              </w:numPr>
            </w:pPr>
            <w:r>
              <w:rPr>
                <w:color w:val="auto"/>
              </w:rPr>
              <w:t xml:space="preserve">Word Wasp </w:t>
            </w:r>
          </w:p>
          <w:p w14:paraId="3206573C" w14:textId="68DE3566" w:rsidR="003513D7" w:rsidRPr="007308D2" w:rsidRDefault="00621400" w:rsidP="003513D7">
            <w:pPr>
              <w:pStyle w:val="TableRow"/>
              <w:numPr>
                <w:ilvl w:val="0"/>
                <w:numId w:val="15"/>
              </w:numPr>
            </w:pPr>
            <w:r>
              <w:t xml:space="preserve">Write From </w:t>
            </w:r>
            <w:proofErr w:type="gramStart"/>
            <w:r>
              <w:t>The</w:t>
            </w:r>
            <w:proofErr w:type="gramEnd"/>
            <w:r>
              <w:t xml:space="preserve"> Start </w:t>
            </w:r>
          </w:p>
          <w:p w14:paraId="3FB59616" w14:textId="77777777" w:rsidR="003513D7" w:rsidRPr="007308D2" w:rsidRDefault="003513D7" w:rsidP="003513D7">
            <w:pPr>
              <w:pStyle w:val="TableRow"/>
              <w:numPr>
                <w:ilvl w:val="0"/>
                <w:numId w:val="15"/>
              </w:numPr>
            </w:pPr>
            <w:r>
              <w:rPr>
                <w:color w:val="auto"/>
              </w:rPr>
              <w:t>Phonics 1:1 support</w:t>
            </w:r>
          </w:p>
          <w:p w14:paraId="2A7D5529" w14:textId="2098CD9E" w:rsidR="00621400" w:rsidRPr="003A7E2B" w:rsidRDefault="003513D7" w:rsidP="000A3577">
            <w:pPr>
              <w:pStyle w:val="TableRow"/>
              <w:numPr>
                <w:ilvl w:val="0"/>
                <w:numId w:val="15"/>
              </w:numPr>
            </w:pPr>
            <w:r>
              <w:rPr>
                <w:color w:val="auto"/>
              </w:rPr>
              <w:t xml:space="preserve">Targeted support for </w:t>
            </w:r>
            <w:r>
              <w:rPr>
                <w:color w:val="auto"/>
              </w:rPr>
              <w:lastRenderedPageBreak/>
              <w:t>EYFS prime areas.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8C6B" w14:textId="77777777" w:rsidR="003513D7" w:rsidRPr="00E27862" w:rsidRDefault="003513D7" w:rsidP="003513D7">
            <w:pPr>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4F7FD869" w14:textId="77777777" w:rsidR="003513D7" w:rsidRPr="00094874" w:rsidRDefault="00000000" w:rsidP="003513D7">
            <w:pPr>
              <w:autoSpaceDN/>
              <w:spacing w:before="60" w:after="60" w:line="240" w:lineRule="auto"/>
              <w:ind w:left="57" w:right="57"/>
              <w:rPr>
                <w:color w:val="0070C0"/>
              </w:rPr>
            </w:pPr>
            <w:hyperlink r:id="rId14" w:history="1">
              <w:r w:rsidR="003513D7" w:rsidRPr="00094874">
                <w:rPr>
                  <w:color w:val="0070C0"/>
                  <w:u w:val="single"/>
                </w:rPr>
                <w:t>One to one tuition | EEF (educationendowmentfoundation.org.uk)</w:t>
              </w:r>
            </w:hyperlink>
          </w:p>
          <w:p w14:paraId="769E116D" w14:textId="77777777" w:rsidR="003513D7" w:rsidRPr="00E27862" w:rsidRDefault="003513D7" w:rsidP="003513D7">
            <w:pPr>
              <w:autoSpaceDN/>
              <w:spacing w:before="60" w:after="60" w:line="240" w:lineRule="auto"/>
              <w:ind w:left="57" w:right="57"/>
              <w:rPr>
                <w:color w:val="auto"/>
              </w:rPr>
            </w:pPr>
            <w:r w:rsidRPr="00E27862">
              <w:rPr>
                <w:color w:val="auto"/>
              </w:rPr>
              <w:t>And in small groups:</w:t>
            </w:r>
          </w:p>
          <w:p w14:paraId="1F661B84" w14:textId="77777777" w:rsidR="003513D7" w:rsidRDefault="00000000" w:rsidP="003513D7">
            <w:pPr>
              <w:pStyle w:val="TableRowCentered"/>
              <w:jc w:val="left"/>
              <w:rPr>
                <w:color w:val="0070C0"/>
                <w:u w:val="single"/>
              </w:rPr>
            </w:pPr>
            <w:hyperlink r:id="rId15" w:history="1">
              <w:r w:rsidR="003513D7" w:rsidRPr="009A7AA4">
                <w:rPr>
                  <w:color w:val="0070C0"/>
                  <w:u w:val="single"/>
                </w:rPr>
                <w:t>Small group tuition | Toolkit Strand | Education Endowment Foundation | EEF</w:t>
              </w:r>
            </w:hyperlink>
          </w:p>
          <w:p w14:paraId="37B59010" w14:textId="77777777" w:rsidR="005C250D" w:rsidRDefault="005C250D" w:rsidP="003513D7">
            <w:pPr>
              <w:pStyle w:val="TableRowCentered"/>
              <w:jc w:val="left"/>
              <w:rPr>
                <w:color w:val="0070C0"/>
                <w:u w:val="single"/>
              </w:rPr>
            </w:pPr>
          </w:p>
          <w:p w14:paraId="00F2A1C4" w14:textId="77777777" w:rsidR="005C250D" w:rsidRDefault="005C250D" w:rsidP="005C250D">
            <w:pPr>
              <w:pStyle w:val="TableRowCentered"/>
              <w:jc w:val="left"/>
              <w:rPr>
                <w:color w:val="0070C0"/>
                <w:u w:val="single"/>
              </w:rPr>
            </w:pPr>
          </w:p>
          <w:p w14:paraId="7734851C" w14:textId="77777777" w:rsidR="005C250D" w:rsidRDefault="00000000" w:rsidP="005C250D">
            <w:pPr>
              <w:pStyle w:val="TableRowCentered"/>
              <w:jc w:val="left"/>
              <w:rPr>
                <w:color w:val="auto"/>
              </w:rPr>
            </w:pPr>
            <w:hyperlink r:id="rId16" w:history="1">
              <w:r w:rsidR="005C250D" w:rsidRPr="005C250D">
                <w:rPr>
                  <w:rStyle w:val="Hyperlink"/>
                </w:rPr>
                <w:t>EEF Teaching and Learning Toolkit</w:t>
              </w:r>
            </w:hyperlink>
            <w:r w:rsidR="005C250D">
              <w:rPr>
                <w:color w:val="auto"/>
              </w:rPr>
              <w:t>: Teaching Assistant Interventions (+4)</w:t>
            </w:r>
          </w:p>
          <w:p w14:paraId="2A7D552A" w14:textId="4B05C724" w:rsidR="005C250D" w:rsidRDefault="005C250D" w:rsidP="003513D7">
            <w:pPr>
              <w:pStyle w:val="TableRowCentered"/>
              <w:jc w:val="left"/>
              <w:rPr>
                <w:sz w:val="22"/>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349E" w14:textId="4C4B0496" w:rsidR="003513D7" w:rsidRPr="00731E3B" w:rsidRDefault="005C250D" w:rsidP="003513D7">
            <w:pPr>
              <w:pStyle w:val="TableRowCentered"/>
              <w:jc w:val="left"/>
              <w:rPr>
                <w:color w:val="FF0000"/>
                <w:sz w:val="22"/>
              </w:rPr>
            </w:pPr>
            <w:r w:rsidRPr="00731E3B">
              <w:rPr>
                <w:color w:val="FF0000"/>
                <w:sz w:val="22"/>
              </w:rPr>
              <w:t>1, 2</w:t>
            </w:r>
          </w:p>
          <w:p w14:paraId="2A7D552B" w14:textId="5CC1DF84" w:rsidR="00D17CC3" w:rsidRPr="00731E3B" w:rsidRDefault="00D17CC3" w:rsidP="003513D7">
            <w:pPr>
              <w:pStyle w:val="TableRowCentered"/>
              <w:jc w:val="left"/>
              <w:rPr>
                <w:color w:val="FF0000"/>
                <w:sz w:val="22"/>
              </w:rPr>
            </w:pPr>
            <w:r w:rsidRPr="00731E3B">
              <w:rPr>
                <w:color w:val="FF0000"/>
                <w:sz w:val="22"/>
              </w:rPr>
              <w:t xml:space="preserve">Budgeted cost = </w:t>
            </w:r>
            <w:r w:rsidR="00213128" w:rsidRPr="00731E3B">
              <w:rPr>
                <w:color w:val="FF0000"/>
                <w:sz w:val="22"/>
              </w:rPr>
              <w:t>3</w:t>
            </w:r>
            <w:r w:rsidR="00C70E66" w:rsidRPr="00731E3B">
              <w:rPr>
                <w:color w:val="FF0000"/>
                <w:sz w:val="22"/>
              </w:rPr>
              <w:t xml:space="preserve"> x </w:t>
            </w:r>
            <w:r w:rsidRPr="00731E3B">
              <w:rPr>
                <w:color w:val="FF0000"/>
                <w:sz w:val="22"/>
              </w:rPr>
              <w:t>£686</w:t>
            </w:r>
            <w:r w:rsidR="00C70E66" w:rsidRPr="00731E3B">
              <w:rPr>
                <w:color w:val="FF0000"/>
                <w:sz w:val="22"/>
              </w:rPr>
              <w:t xml:space="preserve"> = £</w:t>
            </w:r>
            <w:r w:rsidR="00731E3B" w:rsidRPr="00731E3B">
              <w:rPr>
                <w:color w:val="FF0000"/>
                <w:sz w:val="22"/>
              </w:rPr>
              <w:t>2058</w:t>
            </w:r>
          </w:p>
        </w:tc>
      </w:tr>
      <w:tr w:rsidR="003513D7" w14:paraId="2A7D5530" w14:textId="77777777" w:rsidTr="003513D7">
        <w:tc>
          <w:tcPr>
            <w:tcW w:w="24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476E2" w14:textId="77777777" w:rsidR="003513D7" w:rsidRDefault="003513D7" w:rsidP="003513D7">
            <w:pPr>
              <w:pStyle w:val="TableRow"/>
              <w:rPr>
                <w:color w:val="auto"/>
              </w:rPr>
            </w:pPr>
            <w:r>
              <w:rPr>
                <w:color w:val="auto"/>
              </w:rPr>
              <w:t>Provide effective targeted intervention so children can catch-up rapidly by making accelerated progress in Maths.</w:t>
            </w:r>
          </w:p>
          <w:p w14:paraId="29E795F5" w14:textId="77777777" w:rsidR="003513D7" w:rsidRDefault="003513D7" w:rsidP="003513D7">
            <w:pPr>
              <w:pStyle w:val="TableRow"/>
              <w:rPr>
                <w:color w:val="auto"/>
              </w:rPr>
            </w:pPr>
            <w:r>
              <w:rPr>
                <w:color w:val="auto"/>
              </w:rPr>
              <w:t>(see Intervention / Tutoring Summary Grid 2023/24)</w:t>
            </w:r>
          </w:p>
          <w:p w14:paraId="7B65E1C9" w14:textId="77777777" w:rsidR="003513D7" w:rsidRPr="005C250D" w:rsidRDefault="003513D7" w:rsidP="003513D7">
            <w:pPr>
              <w:pStyle w:val="TableRow"/>
              <w:numPr>
                <w:ilvl w:val="0"/>
                <w:numId w:val="15"/>
              </w:numPr>
              <w:rPr>
                <w:sz w:val="22"/>
              </w:rPr>
            </w:pPr>
            <w:r>
              <w:rPr>
                <w:color w:val="auto"/>
              </w:rPr>
              <w:t xml:space="preserve">Small group focus maths work. </w:t>
            </w:r>
          </w:p>
          <w:p w14:paraId="2A7D552D" w14:textId="0457FC4E" w:rsidR="005C250D" w:rsidRPr="0027661F" w:rsidRDefault="005C250D" w:rsidP="003513D7">
            <w:pPr>
              <w:pStyle w:val="TableRow"/>
              <w:numPr>
                <w:ilvl w:val="0"/>
                <w:numId w:val="15"/>
              </w:numPr>
              <w:rPr>
                <w:sz w:val="22"/>
              </w:rPr>
            </w:pPr>
            <w:r>
              <w:rPr>
                <w:color w:val="auto"/>
              </w:rPr>
              <w:t>Targeted maths support for children in EYFS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3D3A" w14:textId="77777777" w:rsidR="003513D7" w:rsidRPr="00E27862" w:rsidRDefault="003513D7" w:rsidP="003513D7">
            <w:pPr>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2CA3830F" w14:textId="77777777" w:rsidR="003513D7" w:rsidRPr="00094874" w:rsidRDefault="00000000" w:rsidP="003513D7">
            <w:pPr>
              <w:autoSpaceDN/>
              <w:spacing w:before="60" w:after="60" w:line="240" w:lineRule="auto"/>
              <w:ind w:left="57" w:right="57"/>
              <w:rPr>
                <w:color w:val="0070C0"/>
              </w:rPr>
            </w:pPr>
            <w:hyperlink r:id="rId17" w:history="1">
              <w:r w:rsidR="003513D7" w:rsidRPr="00094874">
                <w:rPr>
                  <w:color w:val="0070C0"/>
                  <w:u w:val="single"/>
                </w:rPr>
                <w:t>One to one tuition | EEF (educationendowmentfoundation.org.uk)</w:t>
              </w:r>
            </w:hyperlink>
          </w:p>
          <w:p w14:paraId="17E797A4" w14:textId="77777777" w:rsidR="003513D7" w:rsidRPr="00E27862" w:rsidRDefault="003513D7" w:rsidP="003513D7">
            <w:pPr>
              <w:autoSpaceDN/>
              <w:spacing w:before="60" w:after="60" w:line="240" w:lineRule="auto"/>
              <w:ind w:left="57" w:right="57"/>
              <w:rPr>
                <w:color w:val="auto"/>
              </w:rPr>
            </w:pPr>
            <w:r w:rsidRPr="00E27862">
              <w:rPr>
                <w:color w:val="auto"/>
              </w:rPr>
              <w:t>And in small groups:</w:t>
            </w:r>
          </w:p>
          <w:p w14:paraId="64C4E8D3" w14:textId="77777777" w:rsidR="003513D7" w:rsidRDefault="00000000" w:rsidP="003513D7">
            <w:pPr>
              <w:pStyle w:val="TableRowCentered"/>
              <w:jc w:val="left"/>
              <w:rPr>
                <w:color w:val="0070C0"/>
                <w:u w:val="single"/>
              </w:rPr>
            </w:pPr>
            <w:hyperlink r:id="rId18" w:history="1">
              <w:r w:rsidR="003513D7" w:rsidRPr="009A7AA4">
                <w:rPr>
                  <w:color w:val="0070C0"/>
                  <w:u w:val="single"/>
                </w:rPr>
                <w:t>Small group tuition | Toolkit Strand | Education Endowment Foundation | EEF</w:t>
              </w:r>
            </w:hyperlink>
          </w:p>
          <w:p w14:paraId="77EFC593" w14:textId="77777777" w:rsidR="003513D7" w:rsidRDefault="003513D7" w:rsidP="003513D7">
            <w:pPr>
              <w:pStyle w:val="TableRowCentered"/>
              <w:jc w:val="left"/>
              <w:rPr>
                <w:color w:val="0070C0"/>
                <w:u w:val="single"/>
              </w:rPr>
            </w:pPr>
          </w:p>
          <w:p w14:paraId="6D2E248F" w14:textId="2580C024" w:rsidR="003513D7" w:rsidRDefault="00000000" w:rsidP="003513D7">
            <w:pPr>
              <w:pStyle w:val="TableRowCentered"/>
              <w:jc w:val="left"/>
              <w:rPr>
                <w:color w:val="auto"/>
              </w:rPr>
            </w:pPr>
            <w:hyperlink r:id="rId19" w:history="1">
              <w:r w:rsidR="005C250D" w:rsidRPr="005C250D">
                <w:rPr>
                  <w:rStyle w:val="Hyperlink"/>
                </w:rPr>
                <w:t>EEF Teaching and Learning Toolkit</w:t>
              </w:r>
            </w:hyperlink>
            <w:r w:rsidR="005C250D">
              <w:rPr>
                <w:color w:val="auto"/>
              </w:rPr>
              <w:t xml:space="preserve">: </w:t>
            </w:r>
            <w:r w:rsidR="003513D7">
              <w:rPr>
                <w:color w:val="auto"/>
              </w:rPr>
              <w:t>Teaching Assistant Interventions (+4)</w:t>
            </w:r>
          </w:p>
          <w:p w14:paraId="2A7D552E" w14:textId="30238B62" w:rsidR="005C250D" w:rsidRPr="003513D7" w:rsidRDefault="005C250D" w:rsidP="005C250D">
            <w:pPr>
              <w:pStyle w:val="TableRowCentered"/>
              <w:ind w:left="0"/>
              <w:jc w:val="left"/>
              <w:rPr>
                <w:color w:val="auto"/>
                <w:sz w:val="22"/>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C7ED" w14:textId="368543B5" w:rsidR="003513D7" w:rsidRPr="00731E3B" w:rsidRDefault="005C250D" w:rsidP="00D17CC3">
            <w:pPr>
              <w:pStyle w:val="TableRowCentered"/>
              <w:jc w:val="left"/>
              <w:rPr>
                <w:color w:val="FF0000"/>
                <w:sz w:val="22"/>
              </w:rPr>
            </w:pPr>
            <w:r w:rsidRPr="00731E3B">
              <w:rPr>
                <w:color w:val="FF0000"/>
                <w:sz w:val="22"/>
              </w:rPr>
              <w:t>1, 2</w:t>
            </w:r>
          </w:p>
          <w:p w14:paraId="2A7D552F" w14:textId="3B62CDA8" w:rsidR="00D17CC3" w:rsidRPr="00731E3B" w:rsidRDefault="00D17CC3" w:rsidP="00D17CC3">
            <w:pPr>
              <w:pStyle w:val="TableRowCentered"/>
              <w:jc w:val="left"/>
              <w:rPr>
                <w:color w:val="FF0000"/>
                <w:sz w:val="22"/>
              </w:rPr>
            </w:pPr>
            <w:r w:rsidRPr="00731E3B">
              <w:rPr>
                <w:color w:val="FF0000"/>
                <w:sz w:val="22"/>
              </w:rPr>
              <w:t>Budgeted cost = £686</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DA08EF9" w:rsidR="00E66558" w:rsidRDefault="0027661F">
      <w:pPr>
        <w:spacing w:before="240" w:after="120"/>
      </w:pPr>
      <w:r>
        <w:t>Budgeted cost: £</w:t>
      </w:r>
      <w:r w:rsidR="00ED41C9">
        <w:t>6,045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31E3B" w:rsidRPr="00731E3B"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116F662" w:rsidR="00E66558" w:rsidRDefault="005C250D">
            <w:pPr>
              <w:pStyle w:val="TableRow"/>
            </w:pPr>
            <w:r>
              <w:t>Continue to apply the school policy for attendance to ensure high levels of attendance</w:t>
            </w:r>
            <w:r w:rsidR="00460D85">
              <w:t>. T</w:t>
            </w:r>
            <w:r>
              <w:t xml:space="preserve">arget children at risk of developing attendance issues.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3645" w14:textId="76461A67" w:rsidR="005C250D" w:rsidRPr="00E27862" w:rsidRDefault="005C250D" w:rsidP="005C250D">
            <w:pPr>
              <w:pStyle w:val="TableRow"/>
              <w:spacing w:after="120"/>
              <w:ind w:left="29"/>
              <w:rPr>
                <w:iCs/>
                <w:color w:val="auto"/>
                <w:szCs w:val="28"/>
                <w:lang w:val="en-US"/>
              </w:rPr>
            </w:pPr>
            <w:r w:rsidRPr="00E27862">
              <w:rPr>
                <w:iCs/>
                <w:color w:val="auto"/>
                <w:szCs w:val="28"/>
                <w:lang w:val="en-US"/>
              </w:rPr>
              <w:t xml:space="preserve">DfE’s </w:t>
            </w:r>
            <w:hyperlink r:id="rId20"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A7D5539" w14:textId="715E40F9" w:rsidR="00E66558" w:rsidRDefault="005C250D">
            <w:pPr>
              <w:pStyle w:val="TableRowCentered"/>
              <w:jc w:val="left"/>
              <w:rPr>
                <w:sz w:val="22"/>
              </w:rPr>
            </w:pPr>
            <w:r w:rsidRPr="00E27862">
              <w:rPr>
                <w:color w:val="auto"/>
              </w:rPr>
              <w:t>The DfE guidance has been informed by engagement with schools that have significantly reduced levels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BB92C65" w:rsidR="00E66558" w:rsidRPr="00731E3B" w:rsidRDefault="00E40111">
            <w:pPr>
              <w:pStyle w:val="TableRowCentered"/>
              <w:jc w:val="left"/>
              <w:rPr>
                <w:color w:val="FF0000"/>
                <w:sz w:val="22"/>
              </w:rPr>
            </w:pPr>
            <w:r w:rsidRPr="00731E3B">
              <w:rPr>
                <w:color w:val="FF0000"/>
                <w:sz w:val="22"/>
              </w:rPr>
              <w:t>3 = £343</w:t>
            </w:r>
          </w:p>
        </w:tc>
      </w:tr>
      <w:tr w:rsidR="00731E3B" w:rsidRPr="00731E3B"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69D2" w14:textId="77777777" w:rsidR="00BA211D" w:rsidRPr="005109B6" w:rsidRDefault="00BA211D" w:rsidP="00BA211D">
            <w:pPr>
              <w:pStyle w:val="TableRow"/>
              <w:rPr>
                <w:rStyle w:val="PlaceholderText"/>
                <w:color w:val="auto"/>
              </w:rPr>
            </w:pPr>
            <w:r>
              <w:rPr>
                <w:rStyle w:val="PlaceholderText"/>
                <w:color w:val="auto"/>
              </w:rPr>
              <w:t>Provide p</w:t>
            </w:r>
            <w:r w:rsidRPr="005109B6">
              <w:rPr>
                <w:rStyle w:val="PlaceholderText"/>
                <w:color w:val="auto"/>
              </w:rPr>
              <w:t>astoral support</w:t>
            </w:r>
            <w:r w:rsidRPr="00827869">
              <w:rPr>
                <w:rStyle w:val="PlaceholderText"/>
                <w:color w:val="auto"/>
              </w:rPr>
              <w:t xml:space="preserve"> and ensure children are ‘ready to learn’:</w:t>
            </w:r>
          </w:p>
          <w:p w14:paraId="4CEAAB24" w14:textId="77777777" w:rsidR="00460D85" w:rsidRPr="00460D85" w:rsidRDefault="00460D85" w:rsidP="00BA211D">
            <w:pPr>
              <w:pStyle w:val="TableRow"/>
              <w:numPr>
                <w:ilvl w:val="0"/>
                <w:numId w:val="15"/>
              </w:numPr>
              <w:textAlignment w:val="baseline"/>
              <w:rPr>
                <w:rStyle w:val="PlaceholderText"/>
                <w:color w:val="auto"/>
              </w:rPr>
            </w:pPr>
            <w:r>
              <w:rPr>
                <w:rStyle w:val="PlaceholderText"/>
                <w:color w:val="auto"/>
              </w:rPr>
              <w:t>S</w:t>
            </w:r>
            <w:r>
              <w:rPr>
                <w:rStyle w:val="PlaceholderText"/>
              </w:rPr>
              <w:t>ocial Stories</w:t>
            </w:r>
          </w:p>
          <w:p w14:paraId="068E435B" w14:textId="788EB577" w:rsidR="00BA211D" w:rsidRPr="005109B6" w:rsidRDefault="00460D85" w:rsidP="00BA211D">
            <w:pPr>
              <w:pStyle w:val="TableRow"/>
              <w:numPr>
                <w:ilvl w:val="0"/>
                <w:numId w:val="15"/>
              </w:numPr>
              <w:textAlignment w:val="baseline"/>
              <w:rPr>
                <w:rStyle w:val="PlaceholderText"/>
                <w:color w:val="auto"/>
              </w:rPr>
            </w:pPr>
            <w:r>
              <w:rPr>
                <w:rStyle w:val="PlaceholderText"/>
                <w:color w:val="auto"/>
              </w:rPr>
              <w:t>L</w:t>
            </w:r>
            <w:r>
              <w:rPr>
                <w:rStyle w:val="PlaceholderText"/>
              </w:rPr>
              <w:t>ego Therapy</w:t>
            </w:r>
          </w:p>
          <w:p w14:paraId="2A7D553C" w14:textId="01D6434B" w:rsidR="00E66558" w:rsidRDefault="00BA211D" w:rsidP="00BA211D">
            <w:pPr>
              <w:pStyle w:val="TableRow"/>
              <w:numPr>
                <w:ilvl w:val="0"/>
                <w:numId w:val="15"/>
              </w:numPr>
              <w:rPr>
                <w:i/>
                <w:sz w:val="22"/>
              </w:rPr>
            </w:pPr>
            <w:r w:rsidRPr="005109B6">
              <w:rPr>
                <w:rStyle w:val="PlaceholderText"/>
                <w:color w:val="auto"/>
              </w:rPr>
              <w:t xml:space="preserve">1:1 pastoral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C2647B3" w:rsidR="00E66558" w:rsidRDefault="00E01AA0">
            <w:pPr>
              <w:pStyle w:val="TableRowCentered"/>
              <w:jc w:val="left"/>
              <w:rPr>
                <w:sz w:val="22"/>
              </w:rPr>
            </w:pPr>
            <w:r>
              <w:rPr>
                <w:sz w:val="22"/>
              </w:rPr>
              <w:t xml:space="preserve">As stated in the </w:t>
            </w:r>
            <w:hyperlink r:id="rId21" w:history="1">
              <w:r w:rsidRPr="00E01AA0">
                <w:rPr>
                  <w:rStyle w:val="Hyperlink"/>
                  <w:sz w:val="22"/>
                </w:rPr>
                <w:t>EEF’s Menu of Approaches</w:t>
              </w:r>
            </w:hyperlink>
            <w:r>
              <w:rPr>
                <w:sz w:val="22"/>
              </w:rPr>
              <w:t xml:space="preserve">, </w:t>
            </w:r>
            <w:r w:rsidR="00933BEB" w:rsidRPr="00933BEB">
              <w:rPr>
                <w:sz w:val="22"/>
              </w:rPr>
              <w:t>Social and emotional skills support effective learning and are linked to positive outcomes later in life</w:t>
            </w:r>
            <w:r w:rsidR="00933BEB">
              <w:rPr>
                <w:sz w:val="22"/>
              </w:rPr>
              <w:t xml:space="preserve">.  As suggested, we </w:t>
            </w:r>
            <w:proofErr w:type="spellStart"/>
            <w:r w:rsidR="00933BEB">
              <w:rPr>
                <w:sz w:val="22"/>
              </w:rPr>
              <w:t>carefull</w:t>
            </w:r>
            <w:proofErr w:type="spellEnd"/>
            <w:r w:rsidR="00933BEB">
              <w:rPr>
                <w:sz w:val="22"/>
              </w:rPr>
              <w:t xml:space="preserve"> monitor the impact of interventions, using both quantitative data (through </w:t>
            </w:r>
            <w:proofErr w:type="spellStart"/>
            <w:r w:rsidR="00933BEB">
              <w:rPr>
                <w:sz w:val="22"/>
              </w:rPr>
              <w:t>Boxhall</w:t>
            </w:r>
            <w:proofErr w:type="spellEnd"/>
            <w:r w:rsidR="00933BEB">
              <w:rPr>
                <w:sz w:val="22"/>
              </w:rPr>
              <w:t xml:space="preserve"> Profiling) and by considering qualitative data – such as staff and pupil voice.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9848E" w14:textId="01862DB6" w:rsidR="00E66558" w:rsidRPr="00731E3B" w:rsidRDefault="00E40111">
            <w:pPr>
              <w:pStyle w:val="TableRowCentered"/>
              <w:jc w:val="left"/>
              <w:rPr>
                <w:color w:val="FF0000"/>
                <w:sz w:val="22"/>
              </w:rPr>
            </w:pPr>
            <w:r w:rsidRPr="00731E3B">
              <w:rPr>
                <w:color w:val="FF0000"/>
                <w:sz w:val="22"/>
              </w:rPr>
              <w:t>3</w:t>
            </w:r>
            <w:r w:rsidR="00C87CFF" w:rsidRPr="00731E3B">
              <w:rPr>
                <w:color w:val="FF0000"/>
                <w:sz w:val="22"/>
              </w:rPr>
              <w:t xml:space="preserve"> = £686</w:t>
            </w:r>
            <w:r w:rsidR="006F5BB0" w:rsidRPr="00731E3B">
              <w:rPr>
                <w:color w:val="FF0000"/>
                <w:sz w:val="22"/>
              </w:rPr>
              <w:t xml:space="preserve"> x 2 = £1372</w:t>
            </w:r>
          </w:p>
          <w:p w14:paraId="30E10E94" w14:textId="77777777" w:rsidR="00BA211D" w:rsidRPr="00731E3B" w:rsidRDefault="00BA211D">
            <w:pPr>
              <w:pStyle w:val="TableRowCentered"/>
              <w:jc w:val="left"/>
              <w:rPr>
                <w:color w:val="FF0000"/>
                <w:sz w:val="22"/>
              </w:rPr>
            </w:pPr>
          </w:p>
          <w:p w14:paraId="2A7D553E" w14:textId="58D400D2" w:rsidR="0006303C" w:rsidRPr="00731E3B" w:rsidRDefault="0006303C" w:rsidP="00ED41C9">
            <w:pPr>
              <w:pStyle w:val="TableRowCentered"/>
              <w:jc w:val="left"/>
              <w:rPr>
                <w:color w:val="FF0000"/>
                <w:sz w:val="22"/>
              </w:rPr>
            </w:pPr>
          </w:p>
        </w:tc>
      </w:tr>
      <w:tr w:rsidR="00731E3B" w:rsidRPr="00731E3B" w14:paraId="773981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12D8" w14:textId="49E3A389" w:rsidR="00BA211D" w:rsidRDefault="00BA211D" w:rsidP="00BA211D">
            <w:pPr>
              <w:pStyle w:val="TableRow"/>
              <w:rPr>
                <w:color w:val="auto"/>
              </w:rPr>
            </w:pPr>
            <w:r>
              <w:rPr>
                <w:color w:val="auto"/>
              </w:rPr>
              <w:t>Subsidise wider opportunity activitie</w:t>
            </w:r>
            <w:r w:rsidR="0006303C">
              <w:rPr>
                <w:color w:val="auto"/>
              </w:rPr>
              <w:t>s – such as residential visits</w:t>
            </w:r>
            <w:r>
              <w:rPr>
                <w:color w:val="auto"/>
              </w:rPr>
              <w:t xml:space="preserve">, breakfast clubs </w:t>
            </w:r>
            <w:r>
              <w:rPr>
                <w:color w:val="auto"/>
              </w:rPr>
              <w:lastRenderedPageBreak/>
              <w:t xml:space="preserve">and trips </w:t>
            </w:r>
            <w:proofErr w:type="gramStart"/>
            <w:r>
              <w:rPr>
                <w:color w:val="auto"/>
              </w:rPr>
              <w:t>in order to</w:t>
            </w:r>
            <w:proofErr w:type="gramEnd"/>
            <w:r>
              <w:rPr>
                <w:color w:val="auto"/>
              </w:rPr>
              <w:t xml:space="preserve"> ensure disadvantaged children attend and broaden their experiences. </w:t>
            </w:r>
          </w:p>
          <w:p w14:paraId="5FB16406" w14:textId="3265D57E" w:rsidR="00BA211D" w:rsidRDefault="00BA211D" w:rsidP="00BA211D">
            <w:pPr>
              <w:pStyle w:val="TableRow"/>
              <w:rPr>
                <w:rStyle w:val="PlaceholderText"/>
                <w:color w:val="auto"/>
              </w:rPr>
            </w:pPr>
            <w:r>
              <w:rPr>
                <w:color w:val="auto"/>
              </w:rPr>
              <w:t>Also fund after school gym and dance clubs for targeted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2780" w14:textId="0FBA0A8E" w:rsidR="00BA211D" w:rsidRDefault="00933BEB" w:rsidP="00933BEB">
            <w:pPr>
              <w:pStyle w:val="TableRowCentered"/>
              <w:jc w:val="left"/>
              <w:rPr>
                <w:sz w:val="22"/>
              </w:rPr>
            </w:pPr>
            <w:r>
              <w:rPr>
                <w:sz w:val="22"/>
              </w:rPr>
              <w:lastRenderedPageBreak/>
              <w:t xml:space="preserve">As stated in the </w:t>
            </w:r>
            <w:hyperlink r:id="rId22" w:history="1">
              <w:r w:rsidRPr="00E01AA0">
                <w:rPr>
                  <w:rStyle w:val="Hyperlink"/>
                  <w:sz w:val="22"/>
                </w:rPr>
                <w:t>EEF’s Menu of Approaches</w:t>
              </w:r>
            </w:hyperlink>
            <w:r>
              <w:rPr>
                <w:sz w:val="22"/>
              </w:rPr>
              <w:t>, e</w:t>
            </w:r>
            <w:r w:rsidRPr="00933BEB">
              <w:rPr>
                <w:sz w:val="22"/>
              </w:rPr>
              <w:t>xtra</w:t>
            </w:r>
            <w:r>
              <w:rPr>
                <w:sz w:val="22"/>
              </w:rPr>
              <w:t>-</w:t>
            </w:r>
            <w:r w:rsidRPr="00933BEB">
              <w:rPr>
                <w:sz w:val="22"/>
              </w:rPr>
              <w:t xml:space="preserve">curricular activities are an important part of education in their own right. </w:t>
            </w:r>
            <w:r>
              <w:rPr>
                <w:sz w:val="22"/>
              </w:rPr>
              <w:t xml:space="preserve">We have also targeted dance and gym interventions based on </w:t>
            </w:r>
            <w:r>
              <w:rPr>
                <w:sz w:val="22"/>
              </w:rPr>
              <w:lastRenderedPageBreak/>
              <w:t xml:space="preserve">findings from the </w:t>
            </w:r>
            <w:hyperlink r:id="rId23" w:history="1">
              <w:r w:rsidRPr="00933BEB">
                <w:rPr>
                  <w:rStyle w:val="Hyperlink"/>
                  <w:sz w:val="22"/>
                </w:rPr>
                <w:t>EEF’s Arts Participation</w:t>
              </w:r>
            </w:hyperlink>
            <w:r>
              <w:rPr>
                <w:sz w:val="22"/>
              </w:rPr>
              <w:t xml:space="preserve"> (+3) research.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33DD" w14:textId="0E0F6A98" w:rsidR="00BA211D" w:rsidRPr="00731E3B" w:rsidRDefault="00D17CC3" w:rsidP="00CF6939">
            <w:pPr>
              <w:pStyle w:val="TableRowCentered"/>
              <w:jc w:val="left"/>
              <w:rPr>
                <w:color w:val="FF0000"/>
                <w:sz w:val="22"/>
              </w:rPr>
            </w:pPr>
            <w:r w:rsidRPr="00731E3B">
              <w:rPr>
                <w:color w:val="FF0000"/>
                <w:sz w:val="22"/>
              </w:rPr>
              <w:lastRenderedPageBreak/>
              <w:t>4</w:t>
            </w:r>
            <w:r w:rsidR="00C87CFF" w:rsidRPr="00731E3B">
              <w:rPr>
                <w:color w:val="FF0000"/>
                <w:sz w:val="22"/>
              </w:rPr>
              <w:t xml:space="preserve"> = </w:t>
            </w:r>
            <w:r w:rsidR="00CF6939" w:rsidRPr="00731E3B">
              <w:rPr>
                <w:color w:val="FF0000"/>
                <w:sz w:val="22"/>
              </w:rPr>
              <w:t xml:space="preserve">£500 including clubs and residential </w:t>
            </w:r>
          </w:p>
        </w:tc>
      </w:tr>
    </w:tbl>
    <w:p w14:paraId="2A7D5540" w14:textId="77777777" w:rsidR="00E66558" w:rsidRDefault="00E66558">
      <w:pPr>
        <w:spacing w:before="240" w:after="0"/>
        <w:rPr>
          <w:b/>
          <w:bCs/>
          <w:color w:val="104F75"/>
          <w:sz w:val="28"/>
          <w:szCs w:val="28"/>
        </w:rPr>
      </w:pPr>
    </w:p>
    <w:p w14:paraId="2A7D5541" w14:textId="6762250B" w:rsidR="00E66558" w:rsidRDefault="00ED41C9" w:rsidP="00120AB1">
      <w:r>
        <w:rPr>
          <w:b/>
          <w:bCs/>
          <w:color w:val="104F75"/>
          <w:sz w:val="28"/>
          <w:szCs w:val="28"/>
        </w:rPr>
        <w:t>Total budgeted cost: £</w:t>
      </w:r>
      <w:r w:rsidR="00731E3B">
        <w:rPr>
          <w:b/>
          <w:bCs/>
          <w:color w:val="104F75"/>
          <w:sz w:val="28"/>
          <w:szCs w:val="28"/>
        </w:rPr>
        <w:t>4,959</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BA1E0" w14:textId="77777777" w:rsidR="00C400A0" w:rsidRDefault="001764E2" w:rsidP="00EB09BC">
            <w:pPr>
              <w:rPr>
                <w:iCs/>
                <w:lang w:eastAsia="en-US"/>
              </w:rPr>
            </w:pPr>
            <w:r>
              <w:rPr>
                <w:iCs/>
                <w:lang w:eastAsia="en-US"/>
              </w:rPr>
              <w:t xml:space="preserve">Last year, our pupil premium strategy set out </w:t>
            </w:r>
            <w:proofErr w:type="gramStart"/>
            <w:r>
              <w:rPr>
                <w:iCs/>
                <w:lang w:eastAsia="en-US"/>
              </w:rPr>
              <w:t>a number of</w:t>
            </w:r>
            <w:proofErr w:type="gramEnd"/>
            <w:r>
              <w:rPr>
                <w:iCs/>
                <w:lang w:eastAsia="en-US"/>
              </w:rPr>
              <w:t xml:space="preserve"> aims.  </w:t>
            </w:r>
          </w:p>
          <w:p w14:paraId="02185E9B" w14:textId="77777777" w:rsidR="001F3A63" w:rsidRPr="001F3A63" w:rsidRDefault="001F3A63" w:rsidP="001F3A63">
            <w:pPr>
              <w:rPr>
                <w:rFonts w:eastAsia="Arial" w:cs="Arial"/>
                <w:b/>
                <w:bCs/>
                <w:sz w:val="20"/>
                <w:szCs w:val="20"/>
                <w:u w:val="single"/>
              </w:rPr>
            </w:pPr>
            <w:r w:rsidRPr="001F3A63">
              <w:rPr>
                <w:rFonts w:eastAsia="Arial" w:cs="Arial"/>
                <w:b/>
                <w:bCs/>
                <w:sz w:val="20"/>
                <w:szCs w:val="20"/>
                <w:u w:val="single"/>
              </w:rPr>
              <w:t>Review of key aims 2022-2023</w:t>
            </w:r>
          </w:p>
          <w:p w14:paraId="7BF2113C" w14:textId="77777777" w:rsidR="001F3A63" w:rsidRPr="001F3A63" w:rsidRDefault="001F3A63" w:rsidP="001F3A63">
            <w:pPr>
              <w:rPr>
                <w:rFonts w:eastAsia="Arial" w:cs="Arial"/>
                <w:b/>
                <w:bCs/>
                <w:i/>
                <w:iCs/>
                <w:sz w:val="20"/>
                <w:szCs w:val="20"/>
              </w:rPr>
            </w:pPr>
            <w:r w:rsidRPr="001F3A63">
              <w:rPr>
                <w:rFonts w:eastAsia="Arial" w:cs="Arial"/>
                <w:b/>
                <w:bCs/>
                <w:i/>
                <w:iCs/>
                <w:sz w:val="20"/>
                <w:szCs w:val="20"/>
              </w:rPr>
              <w:t>Intervention was put in place in English and Maths to support rapid progress and catch-up for disadvantaged children</w:t>
            </w:r>
          </w:p>
          <w:p w14:paraId="108C1C18" w14:textId="77777777" w:rsidR="001F3A63" w:rsidRPr="001F3A63" w:rsidRDefault="001F3A63" w:rsidP="001F3A63">
            <w:pPr>
              <w:rPr>
                <w:rFonts w:eastAsia="Arial" w:cs="Arial"/>
                <w:b/>
                <w:bCs/>
                <w:i/>
                <w:iCs/>
                <w:sz w:val="20"/>
                <w:szCs w:val="20"/>
              </w:rPr>
            </w:pPr>
            <w:r w:rsidRPr="001F3A63">
              <w:rPr>
                <w:rFonts w:eastAsia="Arial" w:cs="Arial"/>
                <w:b/>
                <w:bCs/>
                <w:i/>
                <w:iCs/>
                <w:sz w:val="20"/>
                <w:szCs w:val="20"/>
              </w:rPr>
              <w:t>Intervention was put in place in to ensure children are on track with phonics learning and attain expected standard in the PSC</w:t>
            </w:r>
          </w:p>
          <w:p w14:paraId="6A1E817C" w14:textId="77777777" w:rsidR="001F3A63" w:rsidRPr="001F3A63" w:rsidRDefault="001F3A63" w:rsidP="001F3A63">
            <w:pPr>
              <w:rPr>
                <w:rFonts w:eastAsia="Arial" w:cs="Arial"/>
                <w:b/>
                <w:bCs/>
                <w:i/>
                <w:iCs/>
                <w:sz w:val="20"/>
                <w:szCs w:val="20"/>
              </w:rPr>
            </w:pPr>
            <w:r w:rsidRPr="001F3A63">
              <w:rPr>
                <w:rFonts w:eastAsia="Arial" w:cs="Arial"/>
                <w:b/>
                <w:bCs/>
                <w:i/>
                <w:iCs/>
                <w:sz w:val="20"/>
                <w:szCs w:val="20"/>
              </w:rPr>
              <w:t>Measures were implemented to support love of reading</w:t>
            </w:r>
          </w:p>
          <w:p w14:paraId="2F5A57CD" w14:textId="77777777" w:rsidR="001F3A63" w:rsidRPr="001F3A63" w:rsidRDefault="001F3A63" w:rsidP="001F3A63">
            <w:pPr>
              <w:spacing w:after="19"/>
              <w:rPr>
                <w:rFonts w:eastAsia="Arial" w:cs="Arial"/>
                <w:b/>
                <w:bCs/>
                <w:i/>
                <w:iCs/>
                <w:sz w:val="20"/>
                <w:szCs w:val="20"/>
              </w:rPr>
            </w:pPr>
            <w:r w:rsidRPr="001F3A63">
              <w:rPr>
                <w:rFonts w:eastAsia="Arial" w:cs="Arial"/>
                <w:b/>
                <w:bCs/>
                <w:i/>
                <w:iCs/>
                <w:sz w:val="20"/>
                <w:szCs w:val="20"/>
              </w:rPr>
              <w:t>Whole school phonics training was implemented.</w:t>
            </w:r>
          </w:p>
          <w:p w14:paraId="37E72093" w14:textId="77777777" w:rsidR="001F3A63" w:rsidRPr="001F3A63" w:rsidRDefault="001F3A63" w:rsidP="001F3A63">
            <w:pPr>
              <w:rPr>
                <w:rFonts w:eastAsia="Arial" w:cs="Arial"/>
                <w:sz w:val="20"/>
                <w:szCs w:val="20"/>
              </w:rPr>
            </w:pPr>
            <w:r w:rsidRPr="001F3A63">
              <w:rPr>
                <w:rFonts w:eastAsia="Arial" w:cs="Arial"/>
                <w:sz w:val="20"/>
                <w:szCs w:val="20"/>
              </w:rPr>
              <w:t>More consistent cross-school approaches for reading, writing and phonics were put in place. These were supported by a programme of CPD.</w:t>
            </w:r>
          </w:p>
          <w:p w14:paraId="0AB8DF47" w14:textId="6E4156F8" w:rsidR="001F3A63" w:rsidRPr="001F3A63" w:rsidRDefault="001F3A63" w:rsidP="001F3A63">
            <w:pPr>
              <w:rPr>
                <w:rFonts w:eastAsia="Arial" w:cs="Arial"/>
                <w:sz w:val="20"/>
                <w:szCs w:val="20"/>
              </w:rPr>
            </w:pPr>
            <w:r w:rsidRPr="001F3A63">
              <w:rPr>
                <w:rFonts w:eastAsia="Arial" w:cs="Arial"/>
                <w:sz w:val="20"/>
                <w:szCs w:val="20"/>
              </w:rPr>
              <w:t xml:space="preserve">At the end of KS2 50% of PP children achieved the expected level in reading, writing, maths and SPAG. 50% of Pupil Premium children attained greater depth in reading, writing and </w:t>
            </w:r>
            <w:proofErr w:type="spellStart"/>
            <w:r w:rsidRPr="001F3A63">
              <w:rPr>
                <w:rFonts w:eastAsia="Arial" w:cs="Arial"/>
                <w:sz w:val="20"/>
                <w:szCs w:val="20"/>
              </w:rPr>
              <w:t>SPAGAt</w:t>
            </w:r>
            <w:proofErr w:type="spellEnd"/>
            <w:r w:rsidRPr="001F3A63">
              <w:rPr>
                <w:rFonts w:eastAsia="Arial" w:cs="Arial"/>
                <w:sz w:val="20"/>
                <w:szCs w:val="20"/>
              </w:rPr>
              <w:t xml:space="preserve"> the end of KS1 50% of pupil premium achieved the expected level in reading and writing. 100% of Pupil Premium children achieved the expected level in maths. </w:t>
            </w:r>
          </w:p>
          <w:p w14:paraId="715A5BB1" w14:textId="77777777" w:rsidR="001F3A63" w:rsidRPr="001F3A63" w:rsidRDefault="001F3A63" w:rsidP="001F3A63">
            <w:pPr>
              <w:rPr>
                <w:rFonts w:eastAsia="Arial" w:cs="Arial"/>
                <w:sz w:val="20"/>
                <w:szCs w:val="20"/>
              </w:rPr>
            </w:pPr>
            <w:r w:rsidRPr="001F3A63">
              <w:rPr>
                <w:rFonts w:eastAsia="Arial" w:cs="Arial"/>
                <w:sz w:val="20"/>
                <w:szCs w:val="20"/>
              </w:rPr>
              <w:t>100% of children in Reception attained a Good Level of Development.</w:t>
            </w:r>
          </w:p>
          <w:p w14:paraId="327C7848" w14:textId="77777777" w:rsidR="001F3A63" w:rsidRPr="001F3A63" w:rsidRDefault="001F3A63" w:rsidP="001F3A63">
            <w:pPr>
              <w:rPr>
                <w:rFonts w:eastAsia="Arial" w:cs="Arial"/>
                <w:sz w:val="20"/>
                <w:szCs w:val="20"/>
              </w:rPr>
            </w:pPr>
            <w:r w:rsidRPr="001F3A63">
              <w:rPr>
                <w:rFonts w:eastAsia="Arial" w:cs="Arial"/>
                <w:sz w:val="20"/>
                <w:szCs w:val="20"/>
              </w:rPr>
              <w:t xml:space="preserve">Children not attaining expected level made good progress throughout the year. </w:t>
            </w:r>
          </w:p>
          <w:p w14:paraId="6C1F3A0B" w14:textId="77777777" w:rsidR="001F3A63" w:rsidRPr="001F3A63" w:rsidRDefault="001F3A63" w:rsidP="001F3A63">
            <w:pPr>
              <w:rPr>
                <w:rFonts w:eastAsia="Arial" w:cs="Arial"/>
                <w:b/>
                <w:bCs/>
                <w:i/>
                <w:iCs/>
                <w:sz w:val="20"/>
                <w:szCs w:val="20"/>
              </w:rPr>
            </w:pPr>
            <w:r w:rsidRPr="001F3A63">
              <w:rPr>
                <w:rFonts w:eastAsia="Arial" w:cs="Arial"/>
                <w:b/>
                <w:bCs/>
                <w:i/>
                <w:iCs/>
                <w:sz w:val="20"/>
                <w:szCs w:val="20"/>
              </w:rPr>
              <w:t>Provide pastoral support to ensure that children are supported with their emotional and social needs and barriers to learning are removed.</w:t>
            </w:r>
          </w:p>
          <w:p w14:paraId="0502BAAD" w14:textId="77777777" w:rsidR="001F3A63" w:rsidRPr="001F3A63" w:rsidRDefault="001F3A63" w:rsidP="001F3A63">
            <w:pPr>
              <w:rPr>
                <w:rFonts w:eastAsia="Arial" w:cs="Arial"/>
                <w:sz w:val="20"/>
                <w:szCs w:val="20"/>
              </w:rPr>
            </w:pPr>
            <w:r w:rsidRPr="001F3A63">
              <w:rPr>
                <w:rFonts w:eastAsia="Arial" w:cs="Arial"/>
                <w:sz w:val="20"/>
                <w:szCs w:val="20"/>
              </w:rPr>
              <w:t xml:space="preserve">School provided pastoral support including use of social stories to support pupil premium persistent absentees and to help remove barriers to learning. 2 out of 3 persistent absentees in 2022-2023 were Pupil Premium children and this impacted overall Pupil Premium attendance which was significantly lower than school average. </w:t>
            </w:r>
          </w:p>
          <w:p w14:paraId="5023926C" w14:textId="3A3E9F40" w:rsidR="003B117B" w:rsidRPr="001F3A63" w:rsidRDefault="001F3A63" w:rsidP="001764E2">
            <w:pPr>
              <w:rPr>
                <w:rFonts w:cs="Arial"/>
              </w:rPr>
            </w:pPr>
            <w:r w:rsidRPr="001F3A63">
              <w:rPr>
                <w:rFonts w:eastAsia="Arial" w:cs="Arial"/>
                <w:sz w:val="20"/>
                <w:szCs w:val="20"/>
              </w:rPr>
              <w:t xml:space="preserve">Social stories and other pastoral support </w:t>
            </w:r>
            <w:proofErr w:type="gramStart"/>
            <w:r w:rsidRPr="001F3A63">
              <w:rPr>
                <w:rFonts w:eastAsia="Arial" w:cs="Arial"/>
                <w:sz w:val="20"/>
                <w:szCs w:val="20"/>
              </w:rPr>
              <w:t>was</w:t>
            </w:r>
            <w:proofErr w:type="gramEnd"/>
            <w:r w:rsidRPr="001F3A63">
              <w:rPr>
                <w:rFonts w:eastAsia="Arial" w:cs="Arial"/>
                <w:sz w:val="20"/>
                <w:szCs w:val="20"/>
              </w:rPr>
              <w:t xml:space="preserve"> put in place to </w:t>
            </w:r>
            <w:r w:rsidRPr="001F3A63">
              <w:rPr>
                <w:rFonts w:cs="Arial"/>
                <w:sz w:val="20"/>
                <w:szCs w:val="20"/>
              </w:rPr>
              <w:t>ensure that children are emotionally and socially ready to learn and that they are supported.</w:t>
            </w:r>
          </w:p>
        </w:tc>
      </w:tr>
    </w:tbl>
    <w:p w14:paraId="2A7D5549" w14:textId="0994170A" w:rsidR="00E66558" w:rsidRPr="003B117B" w:rsidRDefault="006D6372" w:rsidP="003B117B">
      <w:pPr>
        <w:pStyle w:val="Heading2"/>
      </w:pPr>
      <w:r>
        <w:t>E</w:t>
      </w:r>
      <w:r w:rsidR="009D71E8">
        <w:t>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5B48A893" w14:textId="44C5420D" w:rsidR="0008384B" w:rsidRDefault="0008384B" w:rsidP="0008384B"/>
    <w:sectPr w:rsidR="0008384B">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A64B" w14:textId="77777777" w:rsidR="00DB6D90" w:rsidRDefault="00DB6D90">
      <w:pPr>
        <w:spacing w:after="0" w:line="240" w:lineRule="auto"/>
      </w:pPr>
      <w:r>
        <w:separator/>
      </w:r>
    </w:p>
  </w:endnote>
  <w:endnote w:type="continuationSeparator" w:id="0">
    <w:p w14:paraId="12E9161D" w14:textId="77777777" w:rsidR="00DB6D90" w:rsidRDefault="00DB6D90">
      <w:pPr>
        <w:spacing w:after="0" w:line="240" w:lineRule="auto"/>
      </w:pPr>
      <w:r>
        <w:continuationSeparator/>
      </w:r>
    </w:p>
  </w:endnote>
  <w:endnote w:type="continuationNotice" w:id="1">
    <w:p w14:paraId="4ED9D72F" w14:textId="77777777" w:rsidR="00DB6D90" w:rsidRDefault="00DB6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6FDBA23" w:rsidR="00C373EA" w:rsidRDefault="009D71E8">
    <w:pPr>
      <w:pStyle w:val="Footer"/>
      <w:ind w:firstLine="4513"/>
    </w:pPr>
    <w:r>
      <w:fldChar w:fldCharType="begin"/>
    </w:r>
    <w:r>
      <w:instrText xml:space="preserve"> PAGE </w:instrText>
    </w:r>
    <w:r>
      <w:fldChar w:fldCharType="separate"/>
    </w:r>
    <w:r w:rsidR="003B117B">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FAED" w14:textId="77777777" w:rsidR="00DB6D90" w:rsidRDefault="00DB6D90">
      <w:pPr>
        <w:spacing w:after="0" w:line="240" w:lineRule="auto"/>
      </w:pPr>
      <w:r>
        <w:separator/>
      </w:r>
    </w:p>
  </w:footnote>
  <w:footnote w:type="continuationSeparator" w:id="0">
    <w:p w14:paraId="13021511" w14:textId="77777777" w:rsidR="00DB6D90" w:rsidRDefault="00DB6D90">
      <w:pPr>
        <w:spacing w:after="0" w:line="240" w:lineRule="auto"/>
      </w:pPr>
      <w:r>
        <w:continuationSeparator/>
      </w:r>
    </w:p>
  </w:footnote>
  <w:footnote w:type="continuationNotice" w:id="1">
    <w:p w14:paraId="55EAC44B" w14:textId="77777777" w:rsidR="00DB6D90" w:rsidRDefault="00DB6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4342624"/>
    <w:multiLevelType w:val="hybridMultilevel"/>
    <w:tmpl w:val="CEE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BA7473"/>
    <w:multiLevelType w:val="hybridMultilevel"/>
    <w:tmpl w:val="5C0CC7CE"/>
    <w:lvl w:ilvl="0" w:tplc="9A6C946C">
      <w:start w:val="1"/>
      <w:numFmt w:val="bullet"/>
      <w:lvlText w:val="-"/>
      <w:lvlJc w:val="left"/>
      <w:pPr>
        <w:ind w:left="417" w:hanging="360"/>
      </w:pPr>
      <w:rPr>
        <w:rFonts w:ascii="Arial" w:eastAsia="Times New Roman" w:hAnsi="Arial" w:cs="Arial" w:hint="default"/>
        <w:color w:val="808080"/>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A25FAD"/>
    <w:multiLevelType w:val="hybridMultilevel"/>
    <w:tmpl w:val="F1641AC8"/>
    <w:lvl w:ilvl="0" w:tplc="22E4E18A">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23623398">
    <w:abstractNumId w:val="4"/>
  </w:num>
  <w:num w:numId="2" w16cid:durableId="415857498">
    <w:abstractNumId w:val="1"/>
  </w:num>
  <w:num w:numId="3" w16cid:durableId="2059164787">
    <w:abstractNumId w:val="5"/>
  </w:num>
  <w:num w:numId="4" w16cid:durableId="1589725675">
    <w:abstractNumId w:val="6"/>
  </w:num>
  <w:num w:numId="5" w16cid:durableId="512378082">
    <w:abstractNumId w:val="0"/>
  </w:num>
  <w:num w:numId="6" w16cid:durableId="426660510">
    <w:abstractNumId w:val="7"/>
  </w:num>
  <w:num w:numId="7" w16cid:durableId="1919707820">
    <w:abstractNumId w:val="11"/>
  </w:num>
  <w:num w:numId="8" w16cid:durableId="865630700">
    <w:abstractNumId w:val="15"/>
  </w:num>
  <w:num w:numId="9" w16cid:durableId="2001955986">
    <w:abstractNumId w:val="13"/>
  </w:num>
  <w:num w:numId="10" w16cid:durableId="2146239157">
    <w:abstractNumId w:val="12"/>
  </w:num>
  <w:num w:numId="11" w16cid:durableId="1180656942">
    <w:abstractNumId w:val="2"/>
  </w:num>
  <w:num w:numId="12" w16cid:durableId="803045130">
    <w:abstractNumId w:val="14"/>
  </w:num>
  <w:num w:numId="13" w16cid:durableId="687289484">
    <w:abstractNumId w:val="9"/>
  </w:num>
  <w:num w:numId="14" w16cid:durableId="630407899">
    <w:abstractNumId w:val="3"/>
  </w:num>
  <w:num w:numId="15" w16cid:durableId="632293312">
    <w:abstractNumId w:val="10"/>
  </w:num>
  <w:num w:numId="16" w16cid:durableId="137499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303C"/>
    <w:rsid w:val="00064366"/>
    <w:rsid w:val="00066823"/>
    <w:rsid w:val="00066B73"/>
    <w:rsid w:val="00071481"/>
    <w:rsid w:val="00075FAE"/>
    <w:rsid w:val="00080C87"/>
    <w:rsid w:val="00082F38"/>
    <w:rsid w:val="0008384B"/>
    <w:rsid w:val="000929EC"/>
    <w:rsid w:val="00093CDE"/>
    <w:rsid w:val="000A3577"/>
    <w:rsid w:val="000A436D"/>
    <w:rsid w:val="000A6379"/>
    <w:rsid w:val="000D22B0"/>
    <w:rsid w:val="000D35C9"/>
    <w:rsid w:val="000D520C"/>
    <w:rsid w:val="000D6596"/>
    <w:rsid w:val="000E6DF0"/>
    <w:rsid w:val="000F6DDD"/>
    <w:rsid w:val="001037CB"/>
    <w:rsid w:val="0010629E"/>
    <w:rsid w:val="00115538"/>
    <w:rsid w:val="00120AB1"/>
    <w:rsid w:val="00123A7F"/>
    <w:rsid w:val="001278D0"/>
    <w:rsid w:val="00127F72"/>
    <w:rsid w:val="00140646"/>
    <w:rsid w:val="00147A4B"/>
    <w:rsid w:val="00147D4F"/>
    <w:rsid w:val="001671ED"/>
    <w:rsid w:val="001727FA"/>
    <w:rsid w:val="00173D4C"/>
    <w:rsid w:val="001764E2"/>
    <w:rsid w:val="00183218"/>
    <w:rsid w:val="00185988"/>
    <w:rsid w:val="001873B6"/>
    <w:rsid w:val="001901E6"/>
    <w:rsid w:val="00191305"/>
    <w:rsid w:val="00195B55"/>
    <w:rsid w:val="001A2FE8"/>
    <w:rsid w:val="001A33AC"/>
    <w:rsid w:val="001C0010"/>
    <w:rsid w:val="001C1C51"/>
    <w:rsid w:val="001E0ECA"/>
    <w:rsid w:val="001E206F"/>
    <w:rsid w:val="001E5750"/>
    <w:rsid w:val="001E7739"/>
    <w:rsid w:val="001F3A63"/>
    <w:rsid w:val="001F3DB4"/>
    <w:rsid w:val="00204F40"/>
    <w:rsid w:val="00205DEF"/>
    <w:rsid w:val="00213128"/>
    <w:rsid w:val="00216C8A"/>
    <w:rsid w:val="00226317"/>
    <w:rsid w:val="00231539"/>
    <w:rsid w:val="002523E3"/>
    <w:rsid w:val="00266FA5"/>
    <w:rsid w:val="00274597"/>
    <w:rsid w:val="0027661F"/>
    <w:rsid w:val="00283929"/>
    <w:rsid w:val="002920F4"/>
    <w:rsid w:val="002940F3"/>
    <w:rsid w:val="00295842"/>
    <w:rsid w:val="002A4FC5"/>
    <w:rsid w:val="002B3574"/>
    <w:rsid w:val="002B6B74"/>
    <w:rsid w:val="002C181C"/>
    <w:rsid w:val="002C6AE7"/>
    <w:rsid w:val="002D2D4B"/>
    <w:rsid w:val="002D3805"/>
    <w:rsid w:val="002E272B"/>
    <w:rsid w:val="002E66AE"/>
    <w:rsid w:val="002E7763"/>
    <w:rsid w:val="002F5842"/>
    <w:rsid w:val="00306CB7"/>
    <w:rsid w:val="003111F5"/>
    <w:rsid w:val="0032303E"/>
    <w:rsid w:val="00335DBC"/>
    <w:rsid w:val="00336200"/>
    <w:rsid w:val="00337418"/>
    <w:rsid w:val="00345252"/>
    <w:rsid w:val="003513D7"/>
    <w:rsid w:val="00351D83"/>
    <w:rsid w:val="00353E46"/>
    <w:rsid w:val="003576C4"/>
    <w:rsid w:val="00366AB0"/>
    <w:rsid w:val="00371956"/>
    <w:rsid w:val="0037437C"/>
    <w:rsid w:val="0038146B"/>
    <w:rsid w:val="0038340F"/>
    <w:rsid w:val="00384457"/>
    <w:rsid w:val="00384F24"/>
    <w:rsid w:val="003A32B2"/>
    <w:rsid w:val="003A47DD"/>
    <w:rsid w:val="003A634F"/>
    <w:rsid w:val="003A7E2B"/>
    <w:rsid w:val="003B117B"/>
    <w:rsid w:val="003B350C"/>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0D85"/>
    <w:rsid w:val="00462F8F"/>
    <w:rsid w:val="00466229"/>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46FF3"/>
    <w:rsid w:val="0055339C"/>
    <w:rsid w:val="00562B3C"/>
    <w:rsid w:val="00564E40"/>
    <w:rsid w:val="005731C1"/>
    <w:rsid w:val="005750E2"/>
    <w:rsid w:val="00575ED6"/>
    <w:rsid w:val="0058313F"/>
    <w:rsid w:val="00585859"/>
    <w:rsid w:val="00586FBC"/>
    <w:rsid w:val="0058710F"/>
    <w:rsid w:val="005879C9"/>
    <w:rsid w:val="005A3C6B"/>
    <w:rsid w:val="005B1EA5"/>
    <w:rsid w:val="005C250D"/>
    <w:rsid w:val="005D7176"/>
    <w:rsid w:val="005E1F24"/>
    <w:rsid w:val="005E73F1"/>
    <w:rsid w:val="005F07EF"/>
    <w:rsid w:val="00600B2E"/>
    <w:rsid w:val="00607CEB"/>
    <w:rsid w:val="00613299"/>
    <w:rsid w:val="0061762D"/>
    <w:rsid w:val="00621400"/>
    <w:rsid w:val="00626F99"/>
    <w:rsid w:val="00634238"/>
    <w:rsid w:val="00635FBC"/>
    <w:rsid w:val="00637728"/>
    <w:rsid w:val="0064113A"/>
    <w:rsid w:val="00642318"/>
    <w:rsid w:val="00644002"/>
    <w:rsid w:val="006458B1"/>
    <w:rsid w:val="00650529"/>
    <w:rsid w:val="00650BAB"/>
    <w:rsid w:val="00651737"/>
    <w:rsid w:val="00663A20"/>
    <w:rsid w:val="006671BF"/>
    <w:rsid w:val="00672A7D"/>
    <w:rsid w:val="006777B1"/>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847"/>
    <w:rsid w:val="006E7FB1"/>
    <w:rsid w:val="006F2604"/>
    <w:rsid w:val="006F5319"/>
    <w:rsid w:val="006F55FD"/>
    <w:rsid w:val="006F5ADE"/>
    <w:rsid w:val="006F5BB0"/>
    <w:rsid w:val="006F5D21"/>
    <w:rsid w:val="00711BE3"/>
    <w:rsid w:val="00724FA7"/>
    <w:rsid w:val="00725415"/>
    <w:rsid w:val="00727505"/>
    <w:rsid w:val="007308D2"/>
    <w:rsid w:val="00731581"/>
    <w:rsid w:val="00731E3B"/>
    <w:rsid w:val="00741B9E"/>
    <w:rsid w:val="00743DAC"/>
    <w:rsid w:val="0075337B"/>
    <w:rsid w:val="00755CD4"/>
    <w:rsid w:val="00757F96"/>
    <w:rsid w:val="00785285"/>
    <w:rsid w:val="0078529D"/>
    <w:rsid w:val="00787DC1"/>
    <w:rsid w:val="00794070"/>
    <w:rsid w:val="007A05EF"/>
    <w:rsid w:val="007A713B"/>
    <w:rsid w:val="007B64E5"/>
    <w:rsid w:val="007C2F04"/>
    <w:rsid w:val="007C7DB1"/>
    <w:rsid w:val="007F5B8B"/>
    <w:rsid w:val="00817E9A"/>
    <w:rsid w:val="00830D57"/>
    <w:rsid w:val="00860B07"/>
    <w:rsid w:val="008616F6"/>
    <w:rsid w:val="0086259C"/>
    <w:rsid w:val="00880C1A"/>
    <w:rsid w:val="00883F24"/>
    <w:rsid w:val="00897E1F"/>
    <w:rsid w:val="008B2CB4"/>
    <w:rsid w:val="008B6404"/>
    <w:rsid w:val="008C27D3"/>
    <w:rsid w:val="008C2C21"/>
    <w:rsid w:val="008C7DD3"/>
    <w:rsid w:val="008E000B"/>
    <w:rsid w:val="008E2926"/>
    <w:rsid w:val="008E35C6"/>
    <w:rsid w:val="008E3F49"/>
    <w:rsid w:val="008F243B"/>
    <w:rsid w:val="008F4675"/>
    <w:rsid w:val="00904A66"/>
    <w:rsid w:val="0092287F"/>
    <w:rsid w:val="00924942"/>
    <w:rsid w:val="0092495B"/>
    <w:rsid w:val="00925346"/>
    <w:rsid w:val="0092660E"/>
    <w:rsid w:val="00933BEB"/>
    <w:rsid w:val="00936519"/>
    <w:rsid w:val="00941DA3"/>
    <w:rsid w:val="00942C0C"/>
    <w:rsid w:val="009539E3"/>
    <w:rsid w:val="00954A5E"/>
    <w:rsid w:val="009551B2"/>
    <w:rsid w:val="00962751"/>
    <w:rsid w:val="00964625"/>
    <w:rsid w:val="00981C1D"/>
    <w:rsid w:val="0099109C"/>
    <w:rsid w:val="009936DB"/>
    <w:rsid w:val="00993CFC"/>
    <w:rsid w:val="009A1DC2"/>
    <w:rsid w:val="009B59E0"/>
    <w:rsid w:val="009C0914"/>
    <w:rsid w:val="009C27E5"/>
    <w:rsid w:val="009D71E8"/>
    <w:rsid w:val="009E104B"/>
    <w:rsid w:val="009E7DE4"/>
    <w:rsid w:val="009F3BBD"/>
    <w:rsid w:val="00A063DD"/>
    <w:rsid w:val="00A112B5"/>
    <w:rsid w:val="00A14EEA"/>
    <w:rsid w:val="00A15111"/>
    <w:rsid w:val="00A44FBB"/>
    <w:rsid w:val="00A50104"/>
    <w:rsid w:val="00A522E0"/>
    <w:rsid w:val="00A63579"/>
    <w:rsid w:val="00A638AC"/>
    <w:rsid w:val="00A6708D"/>
    <w:rsid w:val="00A727E5"/>
    <w:rsid w:val="00A748B5"/>
    <w:rsid w:val="00A80A32"/>
    <w:rsid w:val="00A82A98"/>
    <w:rsid w:val="00A82D16"/>
    <w:rsid w:val="00A95F75"/>
    <w:rsid w:val="00A96B83"/>
    <w:rsid w:val="00AA355B"/>
    <w:rsid w:val="00AA42E5"/>
    <w:rsid w:val="00AB1F4D"/>
    <w:rsid w:val="00AB24FA"/>
    <w:rsid w:val="00AC74D6"/>
    <w:rsid w:val="00AD7B5A"/>
    <w:rsid w:val="00AE229F"/>
    <w:rsid w:val="00AF5E20"/>
    <w:rsid w:val="00B002FA"/>
    <w:rsid w:val="00B00327"/>
    <w:rsid w:val="00B024B3"/>
    <w:rsid w:val="00B11DE8"/>
    <w:rsid w:val="00B179ED"/>
    <w:rsid w:val="00B20E18"/>
    <w:rsid w:val="00B572C4"/>
    <w:rsid w:val="00B60858"/>
    <w:rsid w:val="00B74D4E"/>
    <w:rsid w:val="00B80219"/>
    <w:rsid w:val="00B84C60"/>
    <w:rsid w:val="00BA013B"/>
    <w:rsid w:val="00BA19A5"/>
    <w:rsid w:val="00BA1C85"/>
    <w:rsid w:val="00BA211D"/>
    <w:rsid w:val="00BC67F6"/>
    <w:rsid w:val="00BD2004"/>
    <w:rsid w:val="00BD4B12"/>
    <w:rsid w:val="00BE2EB7"/>
    <w:rsid w:val="00BE2F92"/>
    <w:rsid w:val="00BF0D5F"/>
    <w:rsid w:val="00C11EB4"/>
    <w:rsid w:val="00C12746"/>
    <w:rsid w:val="00C144A1"/>
    <w:rsid w:val="00C20BB9"/>
    <w:rsid w:val="00C223B9"/>
    <w:rsid w:val="00C25827"/>
    <w:rsid w:val="00C31BB8"/>
    <w:rsid w:val="00C373EA"/>
    <w:rsid w:val="00C400A0"/>
    <w:rsid w:val="00C43F47"/>
    <w:rsid w:val="00C621C1"/>
    <w:rsid w:val="00C62989"/>
    <w:rsid w:val="00C65CBB"/>
    <w:rsid w:val="00C70E66"/>
    <w:rsid w:val="00C80F37"/>
    <w:rsid w:val="00C87CFF"/>
    <w:rsid w:val="00C97A7F"/>
    <w:rsid w:val="00CB2452"/>
    <w:rsid w:val="00CB5B17"/>
    <w:rsid w:val="00CC4443"/>
    <w:rsid w:val="00CC5CAF"/>
    <w:rsid w:val="00CC733E"/>
    <w:rsid w:val="00CF6939"/>
    <w:rsid w:val="00D06874"/>
    <w:rsid w:val="00D173F7"/>
    <w:rsid w:val="00D17CC3"/>
    <w:rsid w:val="00D20203"/>
    <w:rsid w:val="00D204E0"/>
    <w:rsid w:val="00D21354"/>
    <w:rsid w:val="00D22400"/>
    <w:rsid w:val="00D278BA"/>
    <w:rsid w:val="00D33FE5"/>
    <w:rsid w:val="00D3578A"/>
    <w:rsid w:val="00D358B6"/>
    <w:rsid w:val="00D4463C"/>
    <w:rsid w:val="00D501EE"/>
    <w:rsid w:val="00D5170D"/>
    <w:rsid w:val="00D517DC"/>
    <w:rsid w:val="00D5590D"/>
    <w:rsid w:val="00D618E4"/>
    <w:rsid w:val="00D61DA5"/>
    <w:rsid w:val="00D850F8"/>
    <w:rsid w:val="00D86717"/>
    <w:rsid w:val="00D875ED"/>
    <w:rsid w:val="00D877D0"/>
    <w:rsid w:val="00D90013"/>
    <w:rsid w:val="00D91B9C"/>
    <w:rsid w:val="00D92C1B"/>
    <w:rsid w:val="00D94CC7"/>
    <w:rsid w:val="00DA1AF4"/>
    <w:rsid w:val="00DB0C60"/>
    <w:rsid w:val="00DB6D90"/>
    <w:rsid w:val="00DC641A"/>
    <w:rsid w:val="00DC6778"/>
    <w:rsid w:val="00DD6B7D"/>
    <w:rsid w:val="00DD6E14"/>
    <w:rsid w:val="00DE15AC"/>
    <w:rsid w:val="00DF6F7C"/>
    <w:rsid w:val="00E01AA0"/>
    <w:rsid w:val="00E061EC"/>
    <w:rsid w:val="00E12414"/>
    <w:rsid w:val="00E13E51"/>
    <w:rsid w:val="00E40111"/>
    <w:rsid w:val="00E43EAD"/>
    <w:rsid w:val="00E50A0A"/>
    <w:rsid w:val="00E5617D"/>
    <w:rsid w:val="00E62DCB"/>
    <w:rsid w:val="00E651DD"/>
    <w:rsid w:val="00E66558"/>
    <w:rsid w:val="00E70D81"/>
    <w:rsid w:val="00E726A6"/>
    <w:rsid w:val="00E86F05"/>
    <w:rsid w:val="00EA3A2A"/>
    <w:rsid w:val="00EB4556"/>
    <w:rsid w:val="00EB64C8"/>
    <w:rsid w:val="00EC21BB"/>
    <w:rsid w:val="00EC6601"/>
    <w:rsid w:val="00ED41C9"/>
    <w:rsid w:val="00ED5108"/>
    <w:rsid w:val="00F012CA"/>
    <w:rsid w:val="00F01752"/>
    <w:rsid w:val="00F0355A"/>
    <w:rsid w:val="00F24A7E"/>
    <w:rsid w:val="00F33DC0"/>
    <w:rsid w:val="00F340D0"/>
    <w:rsid w:val="00F42E4C"/>
    <w:rsid w:val="00F44BA8"/>
    <w:rsid w:val="00F62587"/>
    <w:rsid w:val="00F63E9E"/>
    <w:rsid w:val="00F73C6B"/>
    <w:rsid w:val="00F76843"/>
    <w:rsid w:val="00F776E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A2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2tic4wvo1iusb.cloudfront.net/production/documents/guidance-for-teachers/pupil-premium/Pupil-Premium-resource-evidence-brief.pdf?v=1695997833" TargetMode="External"/><Relationship Id="rId7" Type="http://schemas.openxmlformats.org/officeDocument/2006/relationships/endnotes" Target="endnotes.xml"/><Relationship Id="rId12" Type="http://schemas.openxmlformats.org/officeDocument/2006/relationships/hyperlink" Target="https://d2tic4wvo1iusb.cloudfront.net/production/documents/guidance-for-teachers/pupil-premium/Pupil-Premium-resource-evidence-brief.pdf?v=1695997833"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tic4wvo1iusb.cloudfront.net/production/documents/guidance-for-teachers/pupil-premium/Pupil-Premium-resource-evidence-brief.pdf?v=169599783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hyperlink" Target="https://educationendowmentfoundation.org.uk/education-evidence/teaching-learning-toolkit" TargetMode="External"/><Relationship Id="rId4" Type="http://schemas.openxmlformats.org/officeDocument/2006/relationships/settings" Target="settings.xml"/><Relationship Id="rId9" Type="http://schemas.openxmlformats.org/officeDocument/2006/relationships/hyperlink" Target="https://d2tic4wvo1iusb.cloudfront.net/eef-guidance-reports/effective-professional-development/EEF-Effective-Professional-Development-Guidance-Report.pdf?v=1635355217"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d2tic4wvo1iusb.cloudfront.net/production/documents/guidance-for-teachers/pupil-premium/Pupil-Premium-resource-evidence-brief.pdf?v=169599783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A0E5-BD90-4207-9AAC-29E8209E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Ian Robson</cp:lastModifiedBy>
  <cp:revision>4</cp:revision>
  <cp:lastPrinted>2023-09-30T12:01:00Z</cp:lastPrinted>
  <dcterms:created xsi:type="dcterms:W3CDTF">2023-11-17T15:00:00Z</dcterms:created>
  <dcterms:modified xsi:type="dcterms:W3CDTF">2024-08-25T15:35:00Z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